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DA7" w:rsidRDefault="00166C07" w:rsidP="00575DA7">
      <w:pPr>
        <w:spacing w:line="360" w:lineRule="auto"/>
        <w:jc w:val="center"/>
        <w:rPr>
          <w:rFonts w:cs="Times New Roman"/>
          <w:szCs w:val="24"/>
        </w:rPr>
      </w:pPr>
      <w:r>
        <w:rPr>
          <w:rFonts w:cs="Times New Roman"/>
          <w:szCs w:val="24"/>
        </w:rPr>
        <w:t>SVEUČILIŠTE U ZAGREBU</w:t>
      </w:r>
      <w:r>
        <w:rPr>
          <w:rFonts w:cs="Times New Roman"/>
          <w:szCs w:val="24"/>
        </w:rPr>
        <w:br/>
        <w:t>MEDICINSKI FAKULTET</w:t>
      </w:r>
    </w:p>
    <w:p w:rsidR="00575DA7" w:rsidRPr="00575DA7" w:rsidRDefault="00166C07" w:rsidP="00575DA7">
      <w:pPr>
        <w:spacing w:before="5000" w:line="360" w:lineRule="auto"/>
        <w:jc w:val="center"/>
        <w:rPr>
          <w:rFonts w:cs="Times New Roman"/>
          <w:b/>
          <w:szCs w:val="24"/>
        </w:rPr>
      </w:pPr>
      <w:r>
        <w:rPr>
          <w:rFonts w:cs="Times New Roman"/>
          <w:szCs w:val="24"/>
        </w:rPr>
        <w:br/>
        <w:t>Mira Knežić</w:t>
      </w:r>
      <w:r>
        <w:rPr>
          <w:rFonts w:cs="Times New Roman"/>
          <w:szCs w:val="24"/>
        </w:rPr>
        <w:br/>
      </w:r>
      <w:r w:rsidR="00CA2E1E">
        <w:rPr>
          <w:rFonts w:cs="Times New Roman"/>
          <w:b/>
          <w:szCs w:val="24"/>
        </w:rPr>
        <w:t>IZRAŽENOST PROTEINA</w:t>
      </w:r>
      <w:r w:rsidR="00BD25A9">
        <w:rPr>
          <w:rFonts w:cs="Times New Roman"/>
          <w:b/>
          <w:szCs w:val="24"/>
        </w:rPr>
        <w:t xml:space="preserve"> </w:t>
      </w:r>
      <w:r w:rsidR="00CA2E1E">
        <w:rPr>
          <w:rFonts w:cs="Times New Roman"/>
          <w:b/>
          <w:szCs w:val="24"/>
        </w:rPr>
        <w:t>PENTRAXIN 3 U DIFUZNIM KARCINOMIMA</w:t>
      </w:r>
      <w:r w:rsidRPr="00575DA7">
        <w:rPr>
          <w:rFonts w:cs="Times New Roman"/>
          <w:b/>
          <w:szCs w:val="24"/>
        </w:rPr>
        <w:t xml:space="preserve"> ŽELUCA</w:t>
      </w:r>
    </w:p>
    <w:p w:rsidR="009652A5" w:rsidRDefault="00166C07" w:rsidP="00575DA7">
      <w:pPr>
        <w:spacing w:before="5000" w:line="360" w:lineRule="auto"/>
        <w:jc w:val="center"/>
        <w:rPr>
          <w:rFonts w:cs="Times New Roman"/>
          <w:szCs w:val="24"/>
        </w:rPr>
      </w:pPr>
      <w:r w:rsidRPr="00575DA7">
        <w:rPr>
          <w:rFonts w:cs="Times New Roman"/>
          <w:b/>
          <w:szCs w:val="24"/>
        </w:rPr>
        <w:br/>
      </w:r>
      <w:r>
        <w:rPr>
          <w:rFonts w:cs="Times New Roman"/>
          <w:szCs w:val="24"/>
        </w:rPr>
        <w:t>Zagreb, 2019.</w:t>
      </w:r>
    </w:p>
    <w:p w:rsidR="009652A5" w:rsidRDefault="009652A5">
      <w:pPr>
        <w:rPr>
          <w:rFonts w:cs="Times New Roman"/>
          <w:szCs w:val="24"/>
        </w:rPr>
      </w:pPr>
      <w:r>
        <w:rPr>
          <w:rFonts w:cs="Times New Roman"/>
          <w:szCs w:val="24"/>
        </w:rPr>
        <w:br w:type="page"/>
      </w:r>
    </w:p>
    <w:p w:rsidR="009652A5" w:rsidRPr="00FC5A3E" w:rsidRDefault="009652A5" w:rsidP="00B8442B">
      <w:pPr>
        <w:spacing w:before="5000" w:line="360" w:lineRule="auto"/>
        <w:jc w:val="both"/>
        <w:rPr>
          <w:rFonts w:cs="Times New Roman"/>
          <w:sz w:val="20"/>
          <w:szCs w:val="20"/>
        </w:rPr>
      </w:pPr>
      <w:r w:rsidRPr="00FC5A3E">
        <w:rPr>
          <w:rFonts w:cs="Times New Roman"/>
          <w:sz w:val="20"/>
          <w:szCs w:val="20"/>
        </w:rPr>
        <w:lastRenderedPageBreak/>
        <w:t>Ova</w:t>
      </w:r>
      <w:r w:rsidR="00544C06" w:rsidRPr="00FC5A3E">
        <w:rPr>
          <w:rFonts w:cs="Times New Roman"/>
          <w:sz w:val="20"/>
          <w:szCs w:val="20"/>
        </w:rPr>
        <w:t>j rad izrađen je na Katedri za m</w:t>
      </w:r>
      <w:r w:rsidRPr="00FC5A3E">
        <w:rPr>
          <w:rFonts w:cs="Times New Roman"/>
          <w:sz w:val="20"/>
          <w:szCs w:val="20"/>
        </w:rPr>
        <w:t xml:space="preserve">edicinsku biologiju Medicinskog fakulteta Sveučilišta u Zagrebu pod vodstvom </w:t>
      </w:r>
      <w:r w:rsidR="009C7568">
        <w:rPr>
          <w:rFonts w:cs="Times New Roman"/>
          <w:sz w:val="20"/>
          <w:szCs w:val="20"/>
        </w:rPr>
        <w:t xml:space="preserve">izv. </w:t>
      </w:r>
      <w:r w:rsidR="00E12B98">
        <w:rPr>
          <w:rFonts w:cs="Times New Roman"/>
          <w:sz w:val="20"/>
          <w:szCs w:val="20"/>
        </w:rPr>
        <w:t xml:space="preserve">prof. dr. sc. Tamare Nikuševa </w:t>
      </w:r>
      <w:r w:rsidRPr="00FC5A3E">
        <w:rPr>
          <w:rFonts w:cs="Times New Roman"/>
          <w:sz w:val="20"/>
          <w:szCs w:val="20"/>
        </w:rPr>
        <w:t>Martić</w:t>
      </w:r>
      <w:r w:rsidR="006C24C0" w:rsidRPr="00FC5A3E">
        <w:rPr>
          <w:rFonts w:cs="Times New Roman"/>
          <w:sz w:val="20"/>
          <w:szCs w:val="20"/>
        </w:rPr>
        <w:t xml:space="preserve"> u sklopu</w:t>
      </w:r>
      <w:r w:rsidR="00544C06" w:rsidRPr="00FC5A3E">
        <w:rPr>
          <w:rFonts w:cs="Times New Roman"/>
          <w:sz w:val="20"/>
          <w:szCs w:val="20"/>
        </w:rPr>
        <w:t xml:space="preserve"> projekta</w:t>
      </w:r>
      <w:r w:rsidR="006C24C0" w:rsidRPr="00FC5A3E">
        <w:rPr>
          <w:rFonts w:cs="Times New Roman"/>
          <w:sz w:val="20"/>
          <w:szCs w:val="20"/>
        </w:rPr>
        <w:t xml:space="preserve"> potpore Sveučilišta u Zagrebu „Izraženost komponenti Wnt signalnog p</w:t>
      </w:r>
      <w:r w:rsidR="0088624C">
        <w:rPr>
          <w:rFonts w:cs="Times New Roman"/>
          <w:sz w:val="20"/>
          <w:szCs w:val="20"/>
        </w:rPr>
        <w:t>uta u difuznim karcinomima</w:t>
      </w:r>
      <w:r w:rsidR="00544C06" w:rsidRPr="00FC5A3E">
        <w:rPr>
          <w:rFonts w:cs="Times New Roman"/>
          <w:sz w:val="20"/>
          <w:szCs w:val="20"/>
        </w:rPr>
        <w:t xml:space="preserve"> želuca“, čija je voditeljica </w:t>
      </w:r>
      <w:r w:rsidR="009C7568">
        <w:rPr>
          <w:rFonts w:cs="Times New Roman"/>
          <w:sz w:val="20"/>
          <w:szCs w:val="20"/>
        </w:rPr>
        <w:t xml:space="preserve">izv. </w:t>
      </w:r>
      <w:r w:rsidR="00E12B98">
        <w:rPr>
          <w:rFonts w:cs="Times New Roman"/>
          <w:sz w:val="20"/>
          <w:szCs w:val="20"/>
        </w:rPr>
        <w:t xml:space="preserve">prof. dr. sc. Tamara Nikuševa </w:t>
      </w:r>
      <w:r w:rsidR="00544C06" w:rsidRPr="00FC5A3E">
        <w:rPr>
          <w:rFonts w:cs="Times New Roman"/>
          <w:sz w:val="20"/>
          <w:szCs w:val="20"/>
        </w:rPr>
        <w:t>Martić,</w:t>
      </w:r>
      <w:r w:rsidRPr="00FC5A3E">
        <w:rPr>
          <w:rFonts w:cs="Times New Roman"/>
          <w:sz w:val="20"/>
          <w:szCs w:val="20"/>
        </w:rPr>
        <w:t xml:space="preserve"> i predan je na natječaj za dodjelu Rektorove nagrade u akademskoj godini 2018./2019.</w:t>
      </w:r>
    </w:p>
    <w:p w:rsidR="009652A5" w:rsidRPr="009454A4" w:rsidRDefault="009652A5" w:rsidP="00B8442B">
      <w:pPr>
        <w:jc w:val="both"/>
        <w:rPr>
          <w:rFonts w:cs="Times New Roman"/>
          <w:sz w:val="22"/>
        </w:rPr>
      </w:pPr>
      <w:r w:rsidRPr="009454A4">
        <w:rPr>
          <w:rFonts w:cs="Times New Roman"/>
          <w:sz w:val="22"/>
        </w:rPr>
        <w:br w:type="page"/>
      </w:r>
    </w:p>
    <w:p w:rsidR="00F46EEB" w:rsidRDefault="0046118F">
      <w:pPr>
        <w:rPr>
          <w:rStyle w:val="Strong"/>
          <w:rFonts w:cs="Times New Roman"/>
          <w:szCs w:val="24"/>
        </w:rPr>
      </w:pPr>
      <w:r>
        <w:rPr>
          <w:rStyle w:val="Strong"/>
          <w:rFonts w:cs="Times New Roman"/>
          <w:szCs w:val="24"/>
        </w:rPr>
        <w:lastRenderedPageBreak/>
        <w:t>Popis i objašnjenje kratica</w:t>
      </w:r>
    </w:p>
    <w:p w:rsidR="00C43A89" w:rsidRDefault="00C43A89">
      <w:pPr>
        <w:rPr>
          <w:rStyle w:val="Strong"/>
          <w:rFonts w:cs="Times New Roman"/>
          <w:b w:val="0"/>
          <w:sz w:val="20"/>
          <w:szCs w:val="20"/>
        </w:rPr>
      </w:pPr>
      <w:r>
        <w:rPr>
          <w:rStyle w:val="Strong"/>
          <w:rFonts w:cs="Times New Roman"/>
          <w:b w:val="0"/>
          <w:sz w:val="20"/>
          <w:szCs w:val="20"/>
        </w:rPr>
        <w:t>WHO: World Health Organization</w:t>
      </w:r>
    </w:p>
    <w:p w:rsidR="00C43A89" w:rsidRDefault="00C43A89">
      <w:pPr>
        <w:rPr>
          <w:rStyle w:val="Strong"/>
          <w:rFonts w:cs="Times New Roman"/>
          <w:b w:val="0"/>
          <w:sz w:val="20"/>
          <w:szCs w:val="20"/>
        </w:rPr>
      </w:pPr>
      <w:r>
        <w:rPr>
          <w:rStyle w:val="Strong"/>
          <w:rFonts w:cs="Times New Roman"/>
          <w:b w:val="0"/>
          <w:sz w:val="20"/>
          <w:szCs w:val="20"/>
        </w:rPr>
        <w:t>HDGC: hereditary diffuse gastric cancer</w:t>
      </w:r>
    </w:p>
    <w:p w:rsidR="00C43A89" w:rsidRDefault="00C43A89">
      <w:pPr>
        <w:rPr>
          <w:rStyle w:val="Strong"/>
          <w:rFonts w:cs="Times New Roman"/>
          <w:b w:val="0"/>
          <w:sz w:val="20"/>
          <w:szCs w:val="20"/>
        </w:rPr>
      </w:pPr>
      <w:r>
        <w:rPr>
          <w:rStyle w:val="Strong"/>
          <w:rFonts w:cs="Times New Roman"/>
          <w:b w:val="0"/>
          <w:sz w:val="20"/>
          <w:szCs w:val="20"/>
        </w:rPr>
        <w:t>CDH1: kadherin-1</w:t>
      </w:r>
    </w:p>
    <w:p w:rsidR="00C43A89" w:rsidRDefault="00C43A89">
      <w:pPr>
        <w:rPr>
          <w:rStyle w:val="Strong"/>
          <w:rFonts w:cs="Times New Roman"/>
          <w:b w:val="0"/>
          <w:sz w:val="20"/>
          <w:szCs w:val="20"/>
        </w:rPr>
      </w:pPr>
      <w:r>
        <w:rPr>
          <w:rStyle w:val="Strong"/>
          <w:rFonts w:cs="Times New Roman"/>
          <w:b w:val="0"/>
          <w:sz w:val="20"/>
          <w:szCs w:val="20"/>
        </w:rPr>
        <w:t xml:space="preserve">APC: </w:t>
      </w:r>
      <w:proofErr w:type="spellStart"/>
      <w:r w:rsidR="00283A25" w:rsidRPr="00283A25">
        <w:rPr>
          <w:rStyle w:val="Strong"/>
          <w:rFonts w:cs="Times New Roman"/>
          <w:b w:val="0"/>
          <w:sz w:val="20"/>
          <w:szCs w:val="20"/>
        </w:rPr>
        <w:t>adenomatous</w:t>
      </w:r>
      <w:proofErr w:type="spellEnd"/>
      <w:r w:rsidR="00283A25" w:rsidRPr="00283A25">
        <w:rPr>
          <w:rStyle w:val="Strong"/>
          <w:rFonts w:cs="Times New Roman"/>
          <w:b w:val="0"/>
          <w:sz w:val="20"/>
          <w:szCs w:val="20"/>
        </w:rPr>
        <w:t xml:space="preserve"> </w:t>
      </w:r>
      <w:proofErr w:type="spellStart"/>
      <w:r w:rsidR="00283A25" w:rsidRPr="00283A25">
        <w:rPr>
          <w:rStyle w:val="Strong"/>
          <w:rFonts w:cs="Times New Roman"/>
          <w:b w:val="0"/>
          <w:sz w:val="20"/>
          <w:szCs w:val="20"/>
        </w:rPr>
        <w:t>polyposis</w:t>
      </w:r>
      <w:proofErr w:type="spellEnd"/>
      <w:r w:rsidR="00283A25" w:rsidRPr="00283A25">
        <w:rPr>
          <w:rStyle w:val="Strong"/>
          <w:rFonts w:cs="Times New Roman"/>
          <w:b w:val="0"/>
          <w:sz w:val="20"/>
          <w:szCs w:val="20"/>
        </w:rPr>
        <w:t xml:space="preserve"> </w:t>
      </w:r>
      <w:proofErr w:type="spellStart"/>
      <w:r w:rsidR="00283A25" w:rsidRPr="00283A25">
        <w:rPr>
          <w:rStyle w:val="Strong"/>
          <w:rFonts w:cs="Times New Roman"/>
          <w:b w:val="0"/>
          <w:sz w:val="20"/>
          <w:szCs w:val="20"/>
        </w:rPr>
        <w:t>coli</w:t>
      </w:r>
      <w:proofErr w:type="spellEnd"/>
    </w:p>
    <w:p w:rsidR="00C43A89" w:rsidRDefault="00C43A89">
      <w:pPr>
        <w:rPr>
          <w:rStyle w:val="Strong"/>
          <w:rFonts w:cs="Times New Roman"/>
          <w:b w:val="0"/>
          <w:sz w:val="20"/>
          <w:szCs w:val="20"/>
        </w:rPr>
      </w:pPr>
      <w:r>
        <w:rPr>
          <w:rStyle w:val="Strong"/>
          <w:rFonts w:cs="Times New Roman"/>
          <w:b w:val="0"/>
          <w:sz w:val="20"/>
          <w:szCs w:val="20"/>
        </w:rPr>
        <w:t>IL: interleukin</w:t>
      </w:r>
    </w:p>
    <w:p w:rsidR="00C43A89" w:rsidRDefault="00C43A89">
      <w:pPr>
        <w:rPr>
          <w:rStyle w:val="Strong"/>
          <w:rFonts w:cs="Times New Roman"/>
          <w:b w:val="0"/>
          <w:sz w:val="20"/>
          <w:szCs w:val="20"/>
        </w:rPr>
      </w:pPr>
      <w:r>
        <w:rPr>
          <w:rStyle w:val="Strong"/>
          <w:rFonts w:cs="Times New Roman"/>
          <w:b w:val="0"/>
          <w:sz w:val="20"/>
          <w:szCs w:val="20"/>
        </w:rPr>
        <w:t xml:space="preserve">TSG: </w:t>
      </w:r>
      <w:r w:rsidRPr="00C43A89">
        <w:rPr>
          <w:rStyle w:val="Strong"/>
          <w:rFonts w:cs="Times New Roman"/>
          <w:b w:val="0"/>
          <w:sz w:val="20"/>
          <w:szCs w:val="20"/>
        </w:rPr>
        <w:t>TNF-stimulated gene</w:t>
      </w:r>
    </w:p>
    <w:p w:rsidR="00C43A89" w:rsidRDefault="00C43A89">
      <w:pPr>
        <w:rPr>
          <w:rStyle w:val="Strong"/>
          <w:rFonts w:cs="Times New Roman"/>
          <w:b w:val="0"/>
          <w:sz w:val="20"/>
          <w:szCs w:val="20"/>
        </w:rPr>
      </w:pPr>
      <w:r>
        <w:rPr>
          <w:rStyle w:val="Strong"/>
          <w:rFonts w:cs="Times New Roman"/>
          <w:b w:val="0"/>
          <w:sz w:val="20"/>
          <w:szCs w:val="20"/>
        </w:rPr>
        <w:t>CRP: C-reaktivni protein</w:t>
      </w:r>
    </w:p>
    <w:p w:rsidR="00C43A89" w:rsidRDefault="00C43A89">
      <w:pPr>
        <w:rPr>
          <w:rStyle w:val="Strong"/>
          <w:rFonts w:cs="Times New Roman"/>
          <w:b w:val="0"/>
          <w:sz w:val="20"/>
          <w:szCs w:val="20"/>
        </w:rPr>
      </w:pPr>
      <w:r>
        <w:rPr>
          <w:rStyle w:val="Strong"/>
          <w:rFonts w:cs="Times New Roman"/>
          <w:b w:val="0"/>
          <w:sz w:val="20"/>
          <w:szCs w:val="20"/>
        </w:rPr>
        <w:t>SAP: serumska amiloidna P komponenta</w:t>
      </w:r>
    </w:p>
    <w:p w:rsidR="00C43A89" w:rsidRDefault="00C43A89">
      <w:pPr>
        <w:rPr>
          <w:rStyle w:val="Strong"/>
          <w:rFonts w:cs="Times New Roman"/>
          <w:b w:val="0"/>
          <w:sz w:val="20"/>
          <w:szCs w:val="20"/>
        </w:rPr>
      </w:pPr>
      <w:r>
        <w:rPr>
          <w:rStyle w:val="Strong"/>
          <w:rFonts w:cs="Times New Roman"/>
          <w:b w:val="0"/>
          <w:sz w:val="20"/>
          <w:szCs w:val="20"/>
        </w:rPr>
        <w:t>cDNA: copy DNA</w:t>
      </w:r>
    </w:p>
    <w:p w:rsidR="00C43A89" w:rsidRDefault="00C43A89">
      <w:pPr>
        <w:rPr>
          <w:rStyle w:val="Strong"/>
          <w:rFonts w:cs="Times New Roman"/>
          <w:b w:val="0"/>
          <w:sz w:val="20"/>
          <w:szCs w:val="20"/>
        </w:rPr>
      </w:pPr>
      <w:r>
        <w:rPr>
          <w:rStyle w:val="Strong"/>
          <w:rFonts w:cs="Times New Roman"/>
          <w:b w:val="0"/>
          <w:sz w:val="20"/>
          <w:szCs w:val="20"/>
        </w:rPr>
        <w:t>TNF-α: tumor necrosis factor α</w:t>
      </w:r>
    </w:p>
    <w:p w:rsidR="00C43A89" w:rsidRDefault="00C43A89">
      <w:pPr>
        <w:rPr>
          <w:rStyle w:val="Strong"/>
          <w:rFonts w:cs="Times New Roman"/>
          <w:b w:val="0"/>
          <w:sz w:val="20"/>
          <w:szCs w:val="20"/>
        </w:rPr>
      </w:pPr>
      <w:r>
        <w:rPr>
          <w:rStyle w:val="Strong"/>
          <w:rFonts w:cs="Times New Roman"/>
          <w:b w:val="0"/>
          <w:sz w:val="20"/>
          <w:szCs w:val="20"/>
        </w:rPr>
        <w:t>TLR: Toll-like receptor</w:t>
      </w:r>
    </w:p>
    <w:p w:rsidR="00C43A89" w:rsidRDefault="00C43A89">
      <w:pPr>
        <w:rPr>
          <w:rStyle w:val="Strong"/>
          <w:rFonts w:cs="Times New Roman"/>
          <w:b w:val="0"/>
          <w:sz w:val="20"/>
          <w:szCs w:val="20"/>
        </w:rPr>
      </w:pPr>
      <w:r>
        <w:rPr>
          <w:rStyle w:val="Strong"/>
          <w:rFonts w:cs="Times New Roman"/>
          <w:b w:val="0"/>
          <w:sz w:val="20"/>
          <w:szCs w:val="20"/>
        </w:rPr>
        <w:t>ng: nanogram</w:t>
      </w:r>
    </w:p>
    <w:p w:rsidR="00C43A89" w:rsidRDefault="00C43A89">
      <w:pPr>
        <w:rPr>
          <w:rStyle w:val="Strong"/>
          <w:rFonts w:cs="Times New Roman"/>
          <w:b w:val="0"/>
          <w:sz w:val="20"/>
          <w:szCs w:val="20"/>
        </w:rPr>
      </w:pPr>
      <w:r>
        <w:rPr>
          <w:rStyle w:val="Strong"/>
          <w:rFonts w:cs="Times New Roman"/>
          <w:b w:val="0"/>
          <w:sz w:val="20"/>
          <w:szCs w:val="20"/>
        </w:rPr>
        <w:t>ml: mililitar</w:t>
      </w:r>
    </w:p>
    <w:p w:rsidR="00C43A89" w:rsidRDefault="00C43A89">
      <w:pPr>
        <w:rPr>
          <w:rStyle w:val="Strong"/>
          <w:rFonts w:cs="Times New Roman"/>
          <w:b w:val="0"/>
          <w:sz w:val="20"/>
          <w:szCs w:val="20"/>
        </w:rPr>
      </w:pPr>
      <w:r>
        <w:rPr>
          <w:rStyle w:val="Strong"/>
          <w:rFonts w:cs="Times New Roman"/>
          <w:b w:val="0"/>
          <w:sz w:val="20"/>
          <w:szCs w:val="20"/>
        </w:rPr>
        <w:t>IFNγ: interferon γ</w:t>
      </w:r>
    </w:p>
    <w:p w:rsidR="00C43A89" w:rsidRDefault="00C43A89">
      <w:pPr>
        <w:rPr>
          <w:rStyle w:val="Strong"/>
          <w:rFonts w:cs="Times New Roman"/>
          <w:b w:val="0"/>
          <w:sz w:val="20"/>
          <w:szCs w:val="20"/>
        </w:rPr>
      </w:pPr>
      <w:r>
        <w:rPr>
          <w:rStyle w:val="Strong"/>
          <w:rFonts w:cs="Times New Roman"/>
          <w:b w:val="0"/>
          <w:sz w:val="20"/>
          <w:szCs w:val="20"/>
        </w:rPr>
        <w:t>FGF: fibroblast growth factor</w:t>
      </w:r>
    </w:p>
    <w:p w:rsidR="00C43A89" w:rsidRDefault="00C43A89">
      <w:pPr>
        <w:rPr>
          <w:rStyle w:val="Strong"/>
          <w:rFonts w:cs="Times New Roman"/>
          <w:b w:val="0"/>
          <w:sz w:val="20"/>
          <w:szCs w:val="20"/>
        </w:rPr>
      </w:pPr>
      <w:r>
        <w:rPr>
          <w:rStyle w:val="Strong"/>
          <w:rFonts w:cs="Times New Roman"/>
          <w:b w:val="0"/>
          <w:sz w:val="20"/>
          <w:szCs w:val="20"/>
        </w:rPr>
        <w:t>FGFR: receptor za FGF</w:t>
      </w:r>
    </w:p>
    <w:p w:rsidR="00C43A89" w:rsidRDefault="00C43A89">
      <w:pPr>
        <w:rPr>
          <w:rStyle w:val="Strong"/>
          <w:rFonts w:cs="Times New Roman"/>
          <w:b w:val="0"/>
          <w:sz w:val="20"/>
          <w:szCs w:val="20"/>
        </w:rPr>
      </w:pPr>
      <w:r>
        <w:rPr>
          <w:rStyle w:val="Strong"/>
          <w:rFonts w:cs="Times New Roman"/>
          <w:b w:val="0"/>
          <w:sz w:val="20"/>
          <w:szCs w:val="20"/>
        </w:rPr>
        <w:t>IαI: iner-α-tripsin inhibitor</w:t>
      </w:r>
    </w:p>
    <w:p w:rsidR="00C43A89" w:rsidRDefault="00C43A89">
      <w:pPr>
        <w:rPr>
          <w:rStyle w:val="Strong"/>
          <w:rFonts w:cs="Times New Roman"/>
          <w:b w:val="0"/>
          <w:sz w:val="20"/>
          <w:szCs w:val="20"/>
        </w:rPr>
      </w:pPr>
      <w:r>
        <w:rPr>
          <w:rStyle w:val="Strong"/>
          <w:rFonts w:cs="Times New Roman"/>
          <w:b w:val="0"/>
          <w:sz w:val="20"/>
          <w:szCs w:val="20"/>
        </w:rPr>
        <w:t>TNM: tumor node metastasis</w:t>
      </w:r>
    </w:p>
    <w:p w:rsidR="00C43A89" w:rsidRDefault="00C43A89">
      <w:pPr>
        <w:rPr>
          <w:rStyle w:val="Strong"/>
          <w:rFonts w:cs="Times New Roman"/>
          <w:b w:val="0"/>
          <w:sz w:val="20"/>
          <w:szCs w:val="20"/>
        </w:rPr>
      </w:pPr>
      <w:r>
        <w:rPr>
          <w:rStyle w:val="Strong"/>
          <w:rFonts w:cs="Times New Roman"/>
          <w:b w:val="0"/>
          <w:sz w:val="20"/>
          <w:szCs w:val="20"/>
        </w:rPr>
        <w:t>EtOH: etanol</w:t>
      </w:r>
    </w:p>
    <w:p w:rsidR="00C43A89" w:rsidRDefault="00C43A89">
      <w:pPr>
        <w:rPr>
          <w:rStyle w:val="Strong"/>
          <w:rFonts w:cs="Times New Roman"/>
          <w:b w:val="0"/>
          <w:sz w:val="20"/>
          <w:szCs w:val="20"/>
        </w:rPr>
      </w:pPr>
      <w:r>
        <w:rPr>
          <w:rStyle w:val="Strong"/>
          <w:rFonts w:cs="Times New Roman"/>
          <w:b w:val="0"/>
          <w:sz w:val="20"/>
          <w:szCs w:val="20"/>
        </w:rPr>
        <w:t>HRP: horseradish peroxidase</w:t>
      </w:r>
    </w:p>
    <w:p w:rsidR="00C43A89" w:rsidRDefault="00C43A89">
      <w:pPr>
        <w:rPr>
          <w:rStyle w:val="Strong"/>
          <w:rFonts w:cs="Times New Roman"/>
          <w:b w:val="0"/>
          <w:sz w:val="20"/>
          <w:szCs w:val="20"/>
        </w:rPr>
      </w:pPr>
      <w:r>
        <w:rPr>
          <w:rStyle w:val="Strong"/>
          <w:rFonts w:cs="Times New Roman"/>
          <w:b w:val="0"/>
          <w:sz w:val="20"/>
          <w:szCs w:val="20"/>
        </w:rPr>
        <w:t xml:space="preserve">DAB: </w:t>
      </w:r>
      <w:r w:rsidRPr="00C43A89">
        <w:rPr>
          <w:rStyle w:val="Strong"/>
          <w:rFonts w:cs="Times New Roman"/>
          <w:b w:val="0"/>
          <w:sz w:val="20"/>
          <w:szCs w:val="20"/>
        </w:rPr>
        <w:t>3,3'-diaminobenzidin tetrahidroklorid</w:t>
      </w:r>
    </w:p>
    <w:p w:rsidR="00C43A89" w:rsidRDefault="00C43A89">
      <w:pPr>
        <w:rPr>
          <w:rStyle w:val="Strong"/>
          <w:rFonts w:cs="Times New Roman"/>
          <w:b w:val="0"/>
          <w:sz w:val="20"/>
          <w:szCs w:val="20"/>
        </w:rPr>
      </w:pPr>
      <w:r>
        <w:rPr>
          <w:rStyle w:val="Strong"/>
          <w:rFonts w:cs="Times New Roman"/>
          <w:b w:val="0"/>
          <w:sz w:val="20"/>
          <w:szCs w:val="20"/>
        </w:rPr>
        <w:t>IRS: immunoreactive score</w:t>
      </w:r>
    </w:p>
    <w:p w:rsidR="00C43A89" w:rsidRDefault="00C43A89">
      <w:pPr>
        <w:rPr>
          <w:rStyle w:val="Strong"/>
          <w:rFonts w:cs="Times New Roman"/>
          <w:b w:val="0"/>
          <w:sz w:val="20"/>
          <w:szCs w:val="20"/>
        </w:rPr>
      </w:pPr>
      <w:r>
        <w:rPr>
          <w:rStyle w:val="Strong"/>
          <w:rFonts w:cs="Times New Roman"/>
          <w:b w:val="0"/>
          <w:sz w:val="20"/>
          <w:szCs w:val="20"/>
        </w:rPr>
        <w:t>SI: staining intensity</w:t>
      </w:r>
    </w:p>
    <w:p w:rsidR="00C43A89" w:rsidRPr="00C43A89" w:rsidRDefault="00C43A89">
      <w:pPr>
        <w:rPr>
          <w:rStyle w:val="Strong"/>
          <w:rFonts w:cs="Times New Roman"/>
          <w:b w:val="0"/>
          <w:sz w:val="20"/>
          <w:szCs w:val="20"/>
        </w:rPr>
      </w:pPr>
      <w:r>
        <w:rPr>
          <w:rStyle w:val="Strong"/>
          <w:rFonts w:cs="Times New Roman"/>
          <w:b w:val="0"/>
          <w:sz w:val="20"/>
          <w:szCs w:val="20"/>
        </w:rPr>
        <w:t>PP: percentage of positive cells</w:t>
      </w:r>
    </w:p>
    <w:p w:rsidR="003C662F" w:rsidRDefault="003C662F">
      <w:pPr>
        <w:rPr>
          <w:rStyle w:val="Strong"/>
          <w:rFonts w:cs="Times New Roman"/>
          <w:szCs w:val="24"/>
        </w:rPr>
      </w:pPr>
      <w:r>
        <w:rPr>
          <w:rStyle w:val="Strong"/>
          <w:rFonts w:cs="Times New Roman"/>
          <w:szCs w:val="24"/>
        </w:rPr>
        <w:br w:type="page"/>
      </w:r>
    </w:p>
    <w:sdt>
      <w:sdtPr>
        <w:rPr>
          <w:rFonts w:asciiTheme="minorHAnsi" w:eastAsiaTheme="minorHAnsi" w:hAnsiTheme="minorHAnsi" w:cstheme="minorBidi"/>
          <w:b w:val="0"/>
          <w:bCs w:val="0"/>
          <w:sz w:val="22"/>
          <w:szCs w:val="22"/>
          <w:lang w:val="hr-HR" w:eastAsia="en-US"/>
        </w:rPr>
        <w:id w:val="1833479954"/>
        <w:docPartObj>
          <w:docPartGallery w:val="Table of Contents"/>
          <w:docPartUnique/>
        </w:docPartObj>
      </w:sdtPr>
      <w:sdtEndPr>
        <w:rPr>
          <w:rFonts w:ascii="Times New Roman" w:hAnsi="Times New Roman"/>
          <w:noProof/>
          <w:sz w:val="24"/>
        </w:rPr>
      </w:sdtEndPr>
      <w:sdtContent>
        <w:p w:rsidR="00382CC4" w:rsidRDefault="00382CC4">
          <w:pPr>
            <w:pStyle w:val="TOCHeading"/>
          </w:pPr>
          <w:proofErr w:type="spellStart"/>
          <w:r>
            <w:t>Sadržaj</w:t>
          </w:r>
          <w:proofErr w:type="spellEnd"/>
          <w:r>
            <w:t xml:space="preserve"> </w:t>
          </w:r>
          <w:proofErr w:type="spellStart"/>
          <w:r>
            <w:t>rada</w:t>
          </w:r>
          <w:proofErr w:type="spellEnd"/>
        </w:p>
        <w:p w:rsidR="00DC211A" w:rsidRDefault="00382CC4">
          <w:pPr>
            <w:pStyle w:val="TOC1"/>
            <w:tabs>
              <w:tab w:val="right" w:leader="dot" w:pos="9062"/>
            </w:tabs>
            <w:rPr>
              <w:rFonts w:asciiTheme="minorHAnsi" w:hAnsiTheme="minorHAnsi"/>
              <w:noProof/>
              <w:sz w:val="22"/>
              <w:lang w:val="hr-HR" w:eastAsia="hr-HR"/>
            </w:rPr>
          </w:pPr>
          <w:r>
            <w:fldChar w:fldCharType="begin"/>
          </w:r>
          <w:r>
            <w:instrText xml:space="preserve"> TOC \o "1-3" \h \z \u </w:instrText>
          </w:r>
          <w:r>
            <w:fldChar w:fldCharType="separate"/>
          </w:r>
          <w:hyperlink w:anchor="_Toc7695559" w:history="1">
            <w:r w:rsidR="00DC211A" w:rsidRPr="0023587F">
              <w:rPr>
                <w:rStyle w:val="Hyperlink"/>
                <w:noProof/>
              </w:rPr>
              <w:t>1. UVOD</w:t>
            </w:r>
            <w:r w:rsidR="00DC211A">
              <w:rPr>
                <w:noProof/>
                <w:webHidden/>
              </w:rPr>
              <w:tab/>
            </w:r>
            <w:r w:rsidR="00DC211A">
              <w:rPr>
                <w:noProof/>
                <w:webHidden/>
              </w:rPr>
              <w:fldChar w:fldCharType="begin"/>
            </w:r>
            <w:r w:rsidR="00DC211A">
              <w:rPr>
                <w:noProof/>
                <w:webHidden/>
              </w:rPr>
              <w:instrText xml:space="preserve"> PAGEREF _Toc7695559 \h </w:instrText>
            </w:r>
            <w:r w:rsidR="00DC211A">
              <w:rPr>
                <w:noProof/>
                <w:webHidden/>
              </w:rPr>
            </w:r>
            <w:r w:rsidR="00DC211A">
              <w:rPr>
                <w:noProof/>
                <w:webHidden/>
              </w:rPr>
              <w:fldChar w:fldCharType="separate"/>
            </w:r>
            <w:r w:rsidR="00B23F9B">
              <w:rPr>
                <w:noProof/>
                <w:webHidden/>
              </w:rPr>
              <w:t>1</w:t>
            </w:r>
            <w:r w:rsidR="00DC211A">
              <w:rPr>
                <w:noProof/>
                <w:webHidden/>
              </w:rPr>
              <w:fldChar w:fldCharType="end"/>
            </w:r>
          </w:hyperlink>
        </w:p>
        <w:p w:rsidR="00DC211A" w:rsidRDefault="005669A4">
          <w:pPr>
            <w:pStyle w:val="TOC2"/>
            <w:tabs>
              <w:tab w:val="left" w:pos="880"/>
              <w:tab w:val="right" w:leader="dot" w:pos="9062"/>
            </w:tabs>
            <w:rPr>
              <w:rFonts w:asciiTheme="minorHAnsi" w:eastAsiaTheme="minorEastAsia" w:hAnsiTheme="minorHAnsi"/>
              <w:noProof/>
              <w:sz w:val="22"/>
              <w:lang w:eastAsia="hr-HR"/>
            </w:rPr>
          </w:pPr>
          <w:hyperlink w:anchor="_Toc7695560" w:history="1">
            <w:r w:rsidR="00DC211A" w:rsidRPr="0023587F">
              <w:rPr>
                <w:rStyle w:val="Hyperlink"/>
                <w:noProof/>
              </w:rPr>
              <w:t>1.1.</w:t>
            </w:r>
            <w:r w:rsidR="00DC211A">
              <w:rPr>
                <w:rFonts w:asciiTheme="minorHAnsi" w:eastAsiaTheme="minorEastAsia" w:hAnsiTheme="minorHAnsi"/>
                <w:noProof/>
                <w:sz w:val="22"/>
                <w:lang w:eastAsia="hr-HR"/>
              </w:rPr>
              <w:tab/>
            </w:r>
            <w:r w:rsidR="00DC211A" w:rsidRPr="0023587F">
              <w:rPr>
                <w:rStyle w:val="Hyperlink"/>
                <w:noProof/>
              </w:rPr>
              <w:t>Karcinom želuca</w:t>
            </w:r>
            <w:r w:rsidR="00DC211A">
              <w:rPr>
                <w:noProof/>
                <w:webHidden/>
              </w:rPr>
              <w:tab/>
            </w:r>
            <w:r w:rsidR="00DC211A">
              <w:rPr>
                <w:noProof/>
                <w:webHidden/>
              </w:rPr>
              <w:fldChar w:fldCharType="begin"/>
            </w:r>
            <w:r w:rsidR="00DC211A">
              <w:rPr>
                <w:noProof/>
                <w:webHidden/>
              </w:rPr>
              <w:instrText xml:space="preserve"> PAGEREF _Toc7695560 \h </w:instrText>
            </w:r>
            <w:r w:rsidR="00DC211A">
              <w:rPr>
                <w:noProof/>
                <w:webHidden/>
              </w:rPr>
            </w:r>
            <w:r w:rsidR="00DC211A">
              <w:rPr>
                <w:noProof/>
                <w:webHidden/>
              </w:rPr>
              <w:fldChar w:fldCharType="separate"/>
            </w:r>
            <w:r w:rsidR="00B23F9B">
              <w:rPr>
                <w:noProof/>
                <w:webHidden/>
              </w:rPr>
              <w:t>1</w:t>
            </w:r>
            <w:r w:rsidR="00DC211A">
              <w:rPr>
                <w:noProof/>
                <w:webHidden/>
              </w:rPr>
              <w:fldChar w:fldCharType="end"/>
            </w:r>
          </w:hyperlink>
        </w:p>
        <w:p w:rsidR="00DC211A" w:rsidRDefault="005669A4">
          <w:pPr>
            <w:pStyle w:val="TOC2"/>
            <w:tabs>
              <w:tab w:val="left" w:pos="880"/>
              <w:tab w:val="right" w:leader="dot" w:pos="9062"/>
            </w:tabs>
            <w:rPr>
              <w:rFonts w:asciiTheme="minorHAnsi" w:eastAsiaTheme="minorEastAsia" w:hAnsiTheme="minorHAnsi"/>
              <w:noProof/>
              <w:sz w:val="22"/>
              <w:lang w:eastAsia="hr-HR"/>
            </w:rPr>
          </w:pPr>
          <w:hyperlink w:anchor="_Toc7695561" w:history="1">
            <w:r w:rsidR="00DC211A" w:rsidRPr="0023587F">
              <w:rPr>
                <w:rStyle w:val="Hyperlink"/>
                <w:noProof/>
              </w:rPr>
              <w:t>1.2.</w:t>
            </w:r>
            <w:r w:rsidR="00DC211A">
              <w:rPr>
                <w:rFonts w:asciiTheme="minorHAnsi" w:eastAsiaTheme="minorEastAsia" w:hAnsiTheme="minorHAnsi"/>
                <w:noProof/>
                <w:sz w:val="22"/>
                <w:lang w:eastAsia="hr-HR"/>
              </w:rPr>
              <w:tab/>
            </w:r>
            <w:r w:rsidR="00DC211A" w:rsidRPr="0023587F">
              <w:rPr>
                <w:rStyle w:val="Hyperlink"/>
                <w:noProof/>
              </w:rPr>
              <w:t>Pentraxin 3</w:t>
            </w:r>
            <w:r w:rsidR="00DC211A">
              <w:rPr>
                <w:noProof/>
                <w:webHidden/>
              </w:rPr>
              <w:tab/>
            </w:r>
            <w:r w:rsidR="00DC211A">
              <w:rPr>
                <w:noProof/>
                <w:webHidden/>
              </w:rPr>
              <w:fldChar w:fldCharType="begin"/>
            </w:r>
            <w:r w:rsidR="00DC211A">
              <w:rPr>
                <w:noProof/>
                <w:webHidden/>
              </w:rPr>
              <w:instrText xml:space="preserve"> PAGEREF _Toc7695561 \h </w:instrText>
            </w:r>
            <w:r w:rsidR="00DC211A">
              <w:rPr>
                <w:noProof/>
                <w:webHidden/>
              </w:rPr>
            </w:r>
            <w:r w:rsidR="00DC211A">
              <w:rPr>
                <w:noProof/>
                <w:webHidden/>
              </w:rPr>
              <w:fldChar w:fldCharType="separate"/>
            </w:r>
            <w:r w:rsidR="00B23F9B">
              <w:rPr>
                <w:noProof/>
                <w:webHidden/>
              </w:rPr>
              <w:t>2</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62" w:history="1">
            <w:r w:rsidR="00DC211A" w:rsidRPr="0023587F">
              <w:rPr>
                <w:rStyle w:val="Hyperlink"/>
                <w:noProof/>
              </w:rPr>
              <w:t>2. HIPOTEZA</w:t>
            </w:r>
            <w:r w:rsidR="00DC211A">
              <w:rPr>
                <w:noProof/>
                <w:webHidden/>
              </w:rPr>
              <w:tab/>
            </w:r>
            <w:r w:rsidR="00DC211A">
              <w:rPr>
                <w:noProof/>
                <w:webHidden/>
              </w:rPr>
              <w:fldChar w:fldCharType="begin"/>
            </w:r>
            <w:r w:rsidR="00DC211A">
              <w:rPr>
                <w:noProof/>
                <w:webHidden/>
              </w:rPr>
              <w:instrText xml:space="preserve"> PAGEREF _Toc7695562 \h </w:instrText>
            </w:r>
            <w:r w:rsidR="00DC211A">
              <w:rPr>
                <w:noProof/>
                <w:webHidden/>
              </w:rPr>
            </w:r>
            <w:r w:rsidR="00DC211A">
              <w:rPr>
                <w:noProof/>
                <w:webHidden/>
              </w:rPr>
              <w:fldChar w:fldCharType="separate"/>
            </w:r>
            <w:r w:rsidR="00B23F9B">
              <w:rPr>
                <w:noProof/>
                <w:webHidden/>
              </w:rPr>
              <w:t>5</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63" w:history="1">
            <w:r w:rsidR="00DC211A" w:rsidRPr="0023587F">
              <w:rPr>
                <w:rStyle w:val="Hyperlink"/>
                <w:noProof/>
              </w:rPr>
              <w:t>3. OPĆI CILJEVI RADA</w:t>
            </w:r>
            <w:r w:rsidR="00DC211A">
              <w:rPr>
                <w:noProof/>
                <w:webHidden/>
              </w:rPr>
              <w:tab/>
            </w:r>
            <w:r w:rsidR="00DC211A">
              <w:rPr>
                <w:noProof/>
                <w:webHidden/>
              </w:rPr>
              <w:fldChar w:fldCharType="begin"/>
            </w:r>
            <w:r w:rsidR="00DC211A">
              <w:rPr>
                <w:noProof/>
                <w:webHidden/>
              </w:rPr>
              <w:instrText xml:space="preserve"> PAGEREF _Toc7695563 \h </w:instrText>
            </w:r>
            <w:r w:rsidR="00DC211A">
              <w:rPr>
                <w:noProof/>
                <w:webHidden/>
              </w:rPr>
            </w:r>
            <w:r w:rsidR="00DC211A">
              <w:rPr>
                <w:noProof/>
                <w:webHidden/>
              </w:rPr>
              <w:fldChar w:fldCharType="separate"/>
            </w:r>
            <w:r w:rsidR="00B23F9B">
              <w:rPr>
                <w:noProof/>
                <w:webHidden/>
              </w:rPr>
              <w:t>5</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64" w:history="1">
            <w:r w:rsidR="00DC211A" w:rsidRPr="0023587F">
              <w:rPr>
                <w:rStyle w:val="Hyperlink"/>
                <w:noProof/>
              </w:rPr>
              <w:t>4. ISPITANICI I METODE</w:t>
            </w:r>
            <w:r w:rsidR="00DC211A">
              <w:rPr>
                <w:noProof/>
                <w:webHidden/>
              </w:rPr>
              <w:tab/>
            </w:r>
            <w:r w:rsidR="00DC211A">
              <w:rPr>
                <w:noProof/>
                <w:webHidden/>
              </w:rPr>
              <w:fldChar w:fldCharType="begin"/>
            </w:r>
            <w:r w:rsidR="00DC211A">
              <w:rPr>
                <w:noProof/>
                <w:webHidden/>
              </w:rPr>
              <w:instrText xml:space="preserve"> PAGEREF _Toc7695564 \h </w:instrText>
            </w:r>
            <w:r w:rsidR="00DC211A">
              <w:rPr>
                <w:noProof/>
                <w:webHidden/>
              </w:rPr>
            </w:r>
            <w:r w:rsidR="00DC211A">
              <w:rPr>
                <w:noProof/>
                <w:webHidden/>
              </w:rPr>
              <w:fldChar w:fldCharType="separate"/>
            </w:r>
            <w:r w:rsidR="00B23F9B">
              <w:rPr>
                <w:noProof/>
                <w:webHidden/>
              </w:rPr>
              <w:t>6</w:t>
            </w:r>
            <w:r w:rsidR="00DC211A">
              <w:rPr>
                <w:noProof/>
                <w:webHidden/>
              </w:rPr>
              <w:fldChar w:fldCharType="end"/>
            </w:r>
          </w:hyperlink>
        </w:p>
        <w:p w:rsidR="00DC211A" w:rsidRDefault="005669A4">
          <w:pPr>
            <w:pStyle w:val="TOC2"/>
            <w:tabs>
              <w:tab w:val="right" w:leader="dot" w:pos="9062"/>
            </w:tabs>
            <w:rPr>
              <w:rFonts w:asciiTheme="minorHAnsi" w:eastAsiaTheme="minorEastAsia" w:hAnsiTheme="minorHAnsi"/>
              <w:noProof/>
              <w:sz w:val="22"/>
              <w:lang w:eastAsia="hr-HR"/>
            </w:rPr>
          </w:pPr>
          <w:hyperlink w:anchor="_Toc7695565" w:history="1">
            <w:r w:rsidR="00DC211A" w:rsidRPr="0023587F">
              <w:rPr>
                <w:rStyle w:val="Hyperlink"/>
                <w:noProof/>
              </w:rPr>
              <w:t>4.1. Uzorci tkiva</w:t>
            </w:r>
            <w:r w:rsidR="00DC211A">
              <w:rPr>
                <w:noProof/>
                <w:webHidden/>
              </w:rPr>
              <w:tab/>
            </w:r>
            <w:r w:rsidR="00DC211A">
              <w:rPr>
                <w:noProof/>
                <w:webHidden/>
              </w:rPr>
              <w:fldChar w:fldCharType="begin"/>
            </w:r>
            <w:r w:rsidR="00DC211A">
              <w:rPr>
                <w:noProof/>
                <w:webHidden/>
              </w:rPr>
              <w:instrText xml:space="preserve"> PAGEREF _Toc7695565 \h </w:instrText>
            </w:r>
            <w:r w:rsidR="00DC211A">
              <w:rPr>
                <w:noProof/>
                <w:webHidden/>
              </w:rPr>
            </w:r>
            <w:r w:rsidR="00DC211A">
              <w:rPr>
                <w:noProof/>
                <w:webHidden/>
              </w:rPr>
              <w:fldChar w:fldCharType="separate"/>
            </w:r>
            <w:r w:rsidR="00B23F9B">
              <w:rPr>
                <w:noProof/>
                <w:webHidden/>
              </w:rPr>
              <w:t>6</w:t>
            </w:r>
            <w:r w:rsidR="00DC211A">
              <w:rPr>
                <w:noProof/>
                <w:webHidden/>
              </w:rPr>
              <w:fldChar w:fldCharType="end"/>
            </w:r>
          </w:hyperlink>
        </w:p>
        <w:p w:rsidR="00DC211A" w:rsidRDefault="005669A4">
          <w:pPr>
            <w:pStyle w:val="TOC2"/>
            <w:tabs>
              <w:tab w:val="right" w:leader="dot" w:pos="9062"/>
            </w:tabs>
            <w:rPr>
              <w:rFonts w:asciiTheme="minorHAnsi" w:eastAsiaTheme="minorEastAsia" w:hAnsiTheme="minorHAnsi"/>
              <w:noProof/>
              <w:sz w:val="22"/>
              <w:lang w:eastAsia="hr-HR"/>
            </w:rPr>
          </w:pPr>
          <w:hyperlink w:anchor="_Toc7695566" w:history="1">
            <w:r w:rsidR="00DC211A" w:rsidRPr="0023587F">
              <w:rPr>
                <w:rStyle w:val="Hyperlink"/>
                <w:noProof/>
              </w:rPr>
              <w:t>4.2. Imunohistokemijska analiza</w:t>
            </w:r>
            <w:r w:rsidR="00DC211A">
              <w:rPr>
                <w:noProof/>
                <w:webHidden/>
              </w:rPr>
              <w:tab/>
            </w:r>
            <w:r w:rsidR="00DC211A">
              <w:rPr>
                <w:noProof/>
                <w:webHidden/>
              </w:rPr>
              <w:fldChar w:fldCharType="begin"/>
            </w:r>
            <w:r w:rsidR="00DC211A">
              <w:rPr>
                <w:noProof/>
                <w:webHidden/>
              </w:rPr>
              <w:instrText xml:space="preserve"> PAGEREF _Toc7695566 \h </w:instrText>
            </w:r>
            <w:r w:rsidR="00DC211A">
              <w:rPr>
                <w:noProof/>
                <w:webHidden/>
              </w:rPr>
            </w:r>
            <w:r w:rsidR="00DC211A">
              <w:rPr>
                <w:noProof/>
                <w:webHidden/>
              </w:rPr>
              <w:fldChar w:fldCharType="separate"/>
            </w:r>
            <w:r w:rsidR="00B23F9B">
              <w:rPr>
                <w:noProof/>
                <w:webHidden/>
              </w:rPr>
              <w:t>6</w:t>
            </w:r>
            <w:r w:rsidR="00DC211A">
              <w:rPr>
                <w:noProof/>
                <w:webHidden/>
              </w:rPr>
              <w:fldChar w:fldCharType="end"/>
            </w:r>
          </w:hyperlink>
        </w:p>
        <w:p w:rsidR="00DC211A" w:rsidRDefault="005669A4">
          <w:pPr>
            <w:pStyle w:val="TOC3"/>
            <w:tabs>
              <w:tab w:val="right" w:leader="dot" w:pos="9062"/>
            </w:tabs>
            <w:rPr>
              <w:rFonts w:asciiTheme="minorHAnsi" w:hAnsiTheme="minorHAnsi"/>
              <w:noProof/>
              <w:sz w:val="22"/>
              <w:lang w:val="hr-HR" w:eastAsia="hr-HR"/>
            </w:rPr>
          </w:pPr>
          <w:hyperlink w:anchor="_Toc7695567" w:history="1">
            <w:r w:rsidR="00DC211A" w:rsidRPr="0023587F">
              <w:rPr>
                <w:rStyle w:val="Hyperlink"/>
                <w:noProof/>
              </w:rPr>
              <w:t>4.2.1. Priprema uzoraka</w:t>
            </w:r>
            <w:r w:rsidR="00DC211A">
              <w:rPr>
                <w:noProof/>
                <w:webHidden/>
              </w:rPr>
              <w:tab/>
            </w:r>
            <w:r w:rsidR="00DC211A">
              <w:rPr>
                <w:noProof/>
                <w:webHidden/>
              </w:rPr>
              <w:fldChar w:fldCharType="begin"/>
            </w:r>
            <w:r w:rsidR="00DC211A">
              <w:rPr>
                <w:noProof/>
                <w:webHidden/>
              </w:rPr>
              <w:instrText xml:space="preserve"> PAGEREF _Toc7695567 \h </w:instrText>
            </w:r>
            <w:r w:rsidR="00DC211A">
              <w:rPr>
                <w:noProof/>
                <w:webHidden/>
              </w:rPr>
            </w:r>
            <w:r w:rsidR="00DC211A">
              <w:rPr>
                <w:noProof/>
                <w:webHidden/>
              </w:rPr>
              <w:fldChar w:fldCharType="separate"/>
            </w:r>
            <w:r w:rsidR="00B23F9B">
              <w:rPr>
                <w:noProof/>
                <w:webHidden/>
              </w:rPr>
              <w:t>6</w:t>
            </w:r>
            <w:r w:rsidR="00DC211A">
              <w:rPr>
                <w:noProof/>
                <w:webHidden/>
              </w:rPr>
              <w:fldChar w:fldCharType="end"/>
            </w:r>
          </w:hyperlink>
        </w:p>
        <w:p w:rsidR="00DC211A" w:rsidRDefault="005669A4">
          <w:pPr>
            <w:pStyle w:val="TOC3"/>
            <w:tabs>
              <w:tab w:val="right" w:leader="dot" w:pos="9062"/>
            </w:tabs>
            <w:rPr>
              <w:rFonts w:asciiTheme="minorHAnsi" w:hAnsiTheme="minorHAnsi"/>
              <w:noProof/>
              <w:sz w:val="22"/>
              <w:lang w:val="hr-HR" w:eastAsia="hr-HR"/>
            </w:rPr>
          </w:pPr>
          <w:hyperlink w:anchor="_Toc7695568" w:history="1">
            <w:r w:rsidR="00DC211A" w:rsidRPr="0023587F">
              <w:rPr>
                <w:rStyle w:val="Hyperlink"/>
                <w:noProof/>
              </w:rPr>
              <w:t>4.2.2. Postupak imunohistokemijskog bojenja</w:t>
            </w:r>
            <w:r w:rsidR="00DC211A">
              <w:rPr>
                <w:noProof/>
                <w:webHidden/>
              </w:rPr>
              <w:tab/>
            </w:r>
            <w:r w:rsidR="00DC211A">
              <w:rPr>
                <w:noProof/>
                <w:webHidden/>
              </w:rPr>
              <w:fldChar w:fldCharType="begin"/>
            </w:r>
            <w:r w:rsidR="00DC211A">
              <w:rPr>
                <w:noProof/>
                <w:webHidden/>
              </w:rPr>
              <w:instrText xml:space="preserve"> PAGEREF _Toc7695568 \h </w:instrText>
            </w:r>
            <w:r w:rsidR="00DC211A">
              <w:rPr>
                <w:noProof/>
                <w:webHidden/>
              </w:rPr>
            </w:r>
            <w:r w:rsidR="00DC211A">
              <w:rPr>
                <w:noProof/>
                <w:webHidden/>
              </w:rPr>
              <w:fldChar w:fldCharType="separate"/>
            </w:r>
            <w:r w:rsidR="00B23F9B">
              <w:rPr>
                <w:noProof/>
                <w:webHidden/>
              </w:rPr>
              <w:t>6</w:t>
            </w:r>
            <w:r w:rsidR="00DC211A">
              <w:rPr>
                <w:noProof/>
                <w:webHidden/>
              </w:rPr>
              <w:fldChar w:fldCharType="end"/>
            </w:r>
          </w:hyperlink>
        </w:p>
        <w:p w:rsidR="00DC211A" w:rsidRDefault="005669A4">
          <w:pPr>
            <w:pStyle w:val="TOC3"/>
            <w:tabs>
              <w:tab w:val="right" w:leader="dot" w:pos="9062"/>
            </w:tabs>
            <w:rPr>
              <w:rFonts w:asciiTheme="minorHAnsi" w:hAnsiTheme="minorHAnsi"/>
              <w:noProof/>
              <w:sz w:val="22"/>
              <w:lang w:val="hr-HR" w:eastAsia="hr-HR"/>
            </w:rPr>
          </w:pPr>
          <w:hyperlink w:anchor="_Toc7695569" w:history="1">
            <w:r w:rsidR="00DC211A" w:rsidRPr="0023587F">
              <w:rPr>
                <w:rStyle w:val="Hyperlink"/>
                <w:noProof/>
              </w:rPr>
              <w:t>4.2.3. Semikvantitativna analiza imunohistokemijske ekspresije PTX3 proteina</w:t>
            </w:r>
            <w:r w:rsidR="00DC211A">
              <w:rPr>
                <w:noProof/>
                <w:webHidden/>
              </w:rPr>
              <w:tab/>
            </w:r>
            <w:r w:rsidR="00DC211A">
              <w:rPr>
                <w:noProof/>
                <w:webHidden/>
              </w:rPr>
              <w:fldChar w:fldCharType="begin"/>
            </w:r>
            <w:r w:rsidR="00DC211A">
              <w:rPr>
                <w:noProof/>
                <w:webHidden/>
              </w:rPr>
              <w:instrText xml:space="preserve"> PAGEREF _Toc7695569 \h </w:instrText>
            </w:r>
            <w:r w:rsidR="00DC211A">
              <w:rPr>
                <w:noProof/>
                <w:webHidden/>
              </w:rPr>
            </w:r>
            <w:r w:rsidR="00DC211A">
              <w:rPr>
                <w:noProof/>
                <w:webHidden/>
              </w:rPr>
              <w:fldChar w:fldCharType="separate"/>
            </w:r>
            <w:r w:rsidR="00B23F9B">
              <w:rPr>
                <w:noProof/>
                <w:webHidden/>
              </w:rPr>
              <w:t>7</w:t>
            </w:r>
            <w:r w:rsidR="00DC211A">
              <w:rPr>
                <w:noProof/>
                <w:webHidden/>
              </w:rPr>
              <w:fldChar w:fldCharType="end"/>
            </w:r>
          </w:hyperlink>
        </w:p>
        <w:p w:rsidR="00DC211A" w:rsidRDefault="005669A4">
          <w:pPr>
            <w:pStyle w:val="TOC2"/>
            <w:tabs>
              <w:tab w:val="right" w:leader="dot" w:pos="9062"/>
            </w:tabs>
            <w:rPr>
              <w:rFonts w:asciiTheme="minorHAnsi" w:eastAsiaTheme="minorEastAsia" w:hAnsiTheme="minorHAnsi"/>
              <w:noProof/>
              <w:sz w:val="22"/>
              <w:lang w:eastAsia="hr-HR"/>
            </w:rPr>
          </w:pPr>
          <w:hyperlink w:anchor="_Toc7695570" w:history="1">
            <w:r w:rsidR="00DC211A" w:rsidRPr="0023587F">
              <w:rPr>
                <w:rStyle w:val="Hyperlink"/>
                <w:noProof/>
              </w:rPr>
              <w:t>4.4. Izolacija RNA, reverzna transkripcija i qRT-PCR</w:t>
            </w:r>
            <w:r w:rsidR="00DC211A">
              <w:rPr>
                <w:noProof/>
                <w:webHidden/>
              </w:rPr>
              <w:tab/>
            </w:r>
            <w:r w:rsidR="00DC211A">
              <w:rPr>
                <w:noProof/>
                <w:webHidden/>
              </w:rPr>
              <w:fldChar w:fldCharType="begin"/>
            </w:r>
            <w:r w:rsidR="00DC211A">
              <w:rPr>
                <w:noProof/>
                <w:webHidden/>
              </w:rPr>
              <w:instrText xml:space="preserve"> PAGEREF _Toc7695570 \h </w:instrText>
            </w:r>
            <w:r w:rsidR="00DC211A">
              <w:rPr>
                <w:noProof/>
                <w:webHidden/>
              </w:rPr>
            </w:r>
            <w:r w:rsidR="00DC211A">
              <w:rPr>
                <w:noProof/>
                <w:webHidden/>
              </w:rPr>
              <w:fldChar w:fldCharType="separate"/>
            </w:r>
            <w:r w:rsidR="00B23F9B">
              <w:rPr>
                <w:noProof/>
                <w:webHidden/>
              </w:rPr>
              <w:t>7</w:t>
            </w:r>
            <w:r w:rsidR="00DC211A">
              <w:rPr>
                <w:noProof/>
                <w:webHidden/>
              </w:rPr>
              <w:fldChar w:fldCharType="end"/>
            </w:r>
          </w:hyperlink>
        </w:p>
        <w:p w:rsidR="00DC211A" w:rsidRDefault="005669A4">
          <w:pPr>
            <w:pStyle w:val="TOC2"/>
            <w:tabs>
              <w:tab w:val="right" w:leader="dot" w:pos="9062"/>
            </w:tabs>
            <w:rPr>
              <w:rFonts w:asciiTheme="minorHAnsi" w:eastAsiaTheme="minorEastAsia" w:hAnsiTheme="minorHAnsi"/>
              <w:noProof/>
              <w:sz w:val="22"/>
              <w:lang w:eastAsia="hr-HR"/>
            </w:rPr>
          </w:pPr>
          <w:hyperlink w:anchor="_Toc7695571" w:history="1">
            <w:r w:rsidR="00DC211A" w:rsidRPr="0023587F">
              <w:rPr>
                <w:rStyle w:val="Hyperlink"/>
                <w:noProof/>
              </w:rPr>
              <w:t>4.5. Statistička obrada podataka</w:t>
            </w:r>
            <w:r w:rsidR="00DC211A">
              <w:rPr>
                <w:noProof/>
                <w:webHidden/>
              </w:rPr>
              <w:tab/>
            </w:r>
            <w:r w:rsidR="00DC211A">
              <w:rPr>
                <w:noProof/>
                <w:webHidden/>
              </w:rPr>
              <w:fldChar w:fldCharType="begin"/>
            </w:r>
            <w:r w:rsidR="00DC211A">
              <w:rPr>
                <w:noProof/>
                <w:webHidden/>
              </w:rPr>
              <w:instrText xml:space="preserve"> PAGEREF _Toc7695571 \h </w:instrText>
            </w:r>
            <w:r w:rsidR="00DC211A">
              <w:rPr>
                <w:noProof/>
                <w:webHidden/>
              </w:rPr>
            </w:r>
            <w:r w:rsidR="00DC211A">
              <w:rPr>
                <w:noProof/>
                <w:webHidden/>
              </w:rPr>
              <w:fldChar w:fldCharType="separate"/>
            </w:r>
            <w:r w:rsidR="00B23F9B">
              <w:rPr>
                <w:noProof/>
                <w:webHidden/>
              </w:rPr>
              <w:t>8</w:t>
            </w:r>
            <w:r w:rsidR="00DC211A">
              <w:rPr>
                <w:noProof/>
                <w:webHidden/>
              </w:rPr>
              <w:fldChar w:fldCharType="end"/>
            </w:r>
          </w:hyperlink>
        </w:p>
        <w:p w:rsidR="00DC211A" w:rsidRDefault="005669A4">
          <w:pPr>
            <w:pStyle w:val="TOC2"/>
            <w:tabs>
              <w:tab w:val="right" w:leader="dot" w:pos="9062"/>
            </w:tabs>
            <w:rPr>
              <w:rFonts w:asciiTheme="minorHAnsi" w:eastAsiaTheme="minorEastAsia" w:hAnsiTheme="minorHAnsi"/>
              <w:noProof/>
              <w:sz w:val="22"/>
              <w:lang w:eastAsia="hr-HR"/>
            </w:rPr>
          </w:pPr>
          <w:hyperlink w:anchor="_Toc7695572" w:history="1">
            <w:r w:rsidR="00DC211A" w:rsidRPr="0023587F">
              <w:rPr>
                <w:rStyle w:val="Hyperlink"/>
                <w:noProof/>
              </w:rPr>
              <w:t>5. REZULTATI</w:t>
            </w:r>
            <w:r w:rsidR="00DC211A">
              <w:rPr>
                <w:noProof/>
                <w:webHidden/>
              </w:rPr>
              <w:tab/>
            </w:r>
            <w:r w:rsidR="00DC211A">
              <w:rPr>
                <w:noProof/>
                <w:webHidden/>
              </w:rPr>
              <w:fldChar w:fldCharType="begin"/>
            </w:r>
            <w:r w:rsidR="00DC211A">
              <w:rPr>
                <w:noProof/>
                <w:webHidden/>
              </w:rPr>
              <w:instrText xml:space="preserve"> PAGEREF _Toc7695572 \h </w:instrText>
            </w:r>
            <w:r w:rsidR="00DC211A">
              <w:rPr>
                <w:noProof/>
                <w:webHidden/>
              </w:rPr>
            </w:r>
            <w:r w:rsidR="00DC211A">
              <w:rPr>
                <w:noProof/>
                <w:webHidden/>
              </w:rPr>
              <w:fldChar w:fldCharType="separate"/>
            </w:r>
            <w:r w:rsidR="00B23F9B">
              <w:rPr>
                <w:noProof/>
                <w:webHidden/>
              </w:rPr>
              <w:t>9</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3" w:history="1">
            <w:r w:rsidR="00DC211A" w:rsidRPr="0023587F">
              <w:rPr>
                <w:rStyle w:val="Hyperlink"/>
                <w:noProof/>
              </w:rPr>
              <w:t>6. RASPRAVA</w:t>
            </w:r>
            <w:r w:rsidR="00DC211A">
              <w:rPr>
                <w:noProof/>
                <w:webHidden/>
              </w:rPr>
              <w:tab/>
            </w:r>
            <w:r w:rsidR="00DC211A">
              <w:rPr>
                <w:noProof/>
                <w:webHidden/>
              </w:rPr>
              <w:fldChar w:fldCharType="begin"/>
            </w:r>
            <w:r w:rsidR="00DC211A">
              <w:rPr>
                <w:noProof/>
                <w:webHidden/>
              </w:rPr>
              <w:instrText xml:space="preserve"> PAGEREF _Toc7695573 \h </w:instrText>
            </w:r>
            <w:r w:rsidR="00DC211A">
              <w:rPr>
                <w:noProof/>
                <w:webHidden/>
              </w:rPr>
            </w:r>
            <w:r w:rsidR="00DC211A">
              <w:rPr>
                <w:noProof/>
                <w:webHidden/>
              </w:rPr>
              <w:fldChar w:fldCharType="separate"/>
            </w:r>
            <w:r w:rsidR="00B23F9B">
              <w:rPr>
                <w:noProof/>
                <w:webHidden/>
              </w:rPr>
              <w:t>16</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4" w:history="1">
            <w:r w:rsidR="00DC211A" w:rsidRPr="0023587F">
              <w:rPr>
                <w:rStyle w:val="Hyperlink"/>
                <w:noProof/>
              </w:rPr>
              <w:t>7. ZAKLJUČCI</w:t>
            </w:r>
            <w:r w:rsidR="00DC211A">
              <w:rPr>
                <w:noProof/>
                <w:webHidden/>
              </w:rPr>
              <w:tab/>
            </w:r>
            <w:r w:rsidR="00DC211A">
              <w:rPr>
                <w:noProof/>
                <w:webHidden/>
              </w:rPr>
              <w:fldChar w:fldCharType="begin"/>
            </w:r>
            <w:r w:rsidR="00DC211A">
              <w:rPr>
                <w:noProof/>
                <w:webHidden/>
              </w:rPr>
              <w:instrText xml:space="preserve"> PAGEREF _Toc7695574 \h </w:instrText>
            </w:r>
            <w:r w:rsidR="00DC211A">
              <w:rPr>
                <w:noProof/>
                <w:webHidden/>
              </w:rPr>
            </w:r>
            <w:r w:rsidR="00DC211A">
              <w:rPr>
                <w:noProof/>
                <w:webHidden/>
              </w:rPr>
              <w:fldChar w:fldCharType="separate"/>
            </w:r>
            <w:r w:rsidR="00B23F9B">
              <w:rPr>
                <w:noProof/>
                <w:webHidden/>
              </w:rPr>
              <w:t>18</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5" w:history="1">
            <w:r w:rsidR="00DC211A" w:rsidRPr="0023587F">
              <w:rPr>
                <w:rStyle w:val="Hyperlink"/>
                <w:noProof/>
              </w:rPr>
              <w:t>8. ZAHVALE</w:t>
            </w:r>
            <w:r w:rsidR="00DC211A">
              <w:rPr>
                <w:noProof/>
                <w:webHidden/>
              </w:rPr>
              <w:tab/>
            </w:r>
            <w:r w:rsidR="00DC211A">
              <w:rPr>
                <w:noProof/>
                <w:webHidden/>
              </w:rPr>
              <w:fldChar w:fldCharType="begin"/>
            </w:r>
            <w:r w:rsidR="00DC211A">
              <w:rPr>
                <w:noProof/>
                <w:webHidden/>
              </w:rPr>
              <w:instrText xml:space="preserve"> PAGEREF _Toc7695575 \h </w:instrText>
            </w:r>
            <w:r w:rsidR="00DC211A">
              <w:rPr>
                <w:noProof/>
                <w:webHidden/>
              </w:rPr>
            </w:r>
            <w:r w:rsidR="00DC211A">
              <w:rPr>
                <w:noProof/>
                <w:webHidden/>
              </w:rPr>
              <w:fldChar w:fldCharType="separate"/>
            </w:r>
            <w:r w:rsidR="00B23F9B">
              <w:rPr>
                <w:noProof/>
                <w:webHidden/>
              </w:rPr>
              <w:t>19</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6" w:history="1">
            <w:r w:rsidR="00DC211A" w:rsidRPr="0023587F">
              <w:rPr>
                <w:rStyle w:val="Hyperlink"/>
                <w:noProof/>
              </w:rPr>
              <w:t>9. POPIS LITERATURE</w:t>
            </w:r>
            <w:r w:rsidR="00DC211A">
              <w:rPr>
                <w:noProof/>
                <w:webHidden/>
              </w:rPr>
              <w:tab/>
            </w:r>
            <w:r w:rsidR="00DC211A">
              <w:rPr>
                <w:noProof/>
                <w:webHidden/>
              </w:rPr>
              <w:fldChar w:fldCharType="begin"/>
            </w:r>
            <w:r w:rsidR="00DC211A">
              <w:rPr>
                <w:noProof/>
                <w:webHidden/>
              </w:rPr>
              <w:instrText xml:space="preserve"> PAGEREF _Toc7695576 \h </w:instrText>
            </w:r>
            <w:r w:rsidR="00DC211A">
              <w:rPr>
                <w:noProof/>
                <w:webHidden/>
              </w:rPr>
            </w:r>
            <w:r w:rsidR="00DC211A">
              <w:rPr>
                <w:noProof/>
                <w:webHidden/>
              </w:rPr>
              <w:fldChar w:fldCharType="separate"/>
            </w:r>
            <w:r w:rsidR="00B23F9B">
              <w:rPr>
                <w:noProof/>
                <w:webHidden/>
              </w:rPr>
              <w:t>20</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7" w:history="1">
            <w:r w:rsidR="00DC211A" w:rsidRPr="0023587F">
              <w:rPr>
                <w:rStyle w:val="Hyperlink"/>
                <w:noProof/>
              </w:rPr>
              <w:t>10. SAŽETAK</w:t>
            </w:r>
            <w:r w:rsidR="00DC211A">
              <w:rPr>
                <w:noProof/>
                <w:webHidden/>
              </w:rPr>
              <w:tab/>
            </w:r>
            <w:r w:rsidR="00DC211A">
              <w:rPr>
                <w:noProof/>
                <w:webHidden/>
              </w:rPr>
              <w:fldChar w:fldCharType="begin"/>
            </w:r>
            <w:r w:rsidR="00DC211A">
              <w:rPr>
                <w:noProof/>
                <w:webHidden/>
              </w:rPr>
              <w:instrText xml:space="preserve"> PAGEREF _Toc7695577 \h </w:instrText>
            </w:r>
            <w:r w:rsidR="00DC211A">
              <w:rPr>
                <w:noProof/>
                <w:webHidden/>
              </w:rPr>
            </w:r>
            <w:r w:rsidR="00DC211A">
              <w:rPr>
                <w:noProof/>
                <w:webHidden/>
              </w:rPr>
              <w:fldChar w:fldCharType="separate"/>
            </w:r>
            <w:r w:rsidR="00B23F9B">
              <w:rPr>
                <w:noProof/>
                <w:webHidden/>
              </w:rPr>
              <w:t>24</w:t>
            </w:r>
            <w:r w:rsidR="00DC211A">
              <w:rPr>
                <w:noProof/>
                <w:webHidden/>
              </w:rPr>
              <w:fldChar w:fldCharType="end"/>
            </w:r>
          </w:hyperlink>
        </w:p>
        <w:p w:rsidR="00DC211A" w:rsidRDefault="005669A4">
          <w:pPr>
            <w:pStyle w:val="TOC1"/>
            <w:tabs>
              <w:tab w:val="right" w:leader="dot" w:pos="9062"/>
            </w:tabs>
            <w:rPr>
              <w:rFonts w:asciiTheme="minorHAnsi" w:hAnsiTheme="minorHAnsi"/>
              <w:noProof/>
              <w:sz w:val="22"/>
              <w:lang w:val="hr-HR" w:eastAsia="hr-HR"/>
            </w:rPr>
          </w:pPr>
          <w:hyperlink w:anchor="_Toc7695578" w:history="1">
            <w:r w:rsidR="00DC211A" w:rsidRPr="0023587F">
              <w:rPr>
                <w:rStyle w:val="Hyperlink"/>
                <w:noProof/>
              </w:rPr>
              <w:t>11. ABSTRACT</w:t>
            </w:r>
            <w:r w:rsidR="00DC211A">
              <w:rPr>
                <w:noProof/>
                <w:webHidden/>
              </w:rPr>
              <w:tab/>
            </w:r>
            <w:r w:rsidR="00DC211A">
              <w:rPr>
                <w:noProof/>
                <w:webHidden/>
              </w:rPr>
              <w:fldChar w:fldCharType="begin"/>
            </w:r>
            <w:r w:rsidR="00DC211A">
              <w:rPr>
                <w:noProof/>
                <w:webHidden/>
              </w:rPr>
              <w:instrText xml:space="preserve"> PAGEREF _Toc7695578 \h </w:instrText>
            </w:r>
            <w:r w:rsidR="00DC211A">
              <w:rPr>
                <w:noProof/>
                <w:webHidden/>
              </w:rPr>
            </w:r>
            <w:r w:rsidR="00DC211A">
              <w:rPr>
                <w:noProof/>
                <w:webHidden/>
              </w:rPr>
              <w:fldChar w:fldCharType="separate"/>
            </w:r>
            <w:r w:rsidR="00B23F9B">
              <w:rPr>
                <w:noProof/>
                <w:webHidden/>
              </w:rPr>
              <w:t>25</w:t>
            </w:r>
            <w:r w:rsidR="00DC211A">
              <w:rPr>
                <w:noProof/>
                <w:webHidden/>
              </w:rPr>
              <w:fldChar w:fldCharType="end"/>
            </w:r>
          </w:hyperlink>
        </w:p>
        <w:p w:rsidR="00382CC4" w:rsidRDefault="00382CC4">
          <w:r>
            <w:rPr>
              <w:b/>
              <w:bCs/>
              <w:noProof/>
            </w:rPr>
            <w:fldChar w:fldCharType="end"/>
          </w:r>
        </w:p>
      </w:sdtContent>
    </w:sdt>
    <w:p w:rsidR="003C662F" w:rsidRPr="0046118F" w:rsidRDefault="0046118F" w:rsidP="0046118F">
      <w:pPr>
        <w:pStyle w:val="Heading1"/>
        <w:rPr>
          <w:rStyle w:val="Strong"/>
        </w:rPr>
      </w:pPr>
      <w:r>
        <w:rPr>
          <w:rStyle w:val="Strong"/>
        </w:rPr>
        <w:br/>
      </w:r>
      <w:r w:rsidR="003C662F" w:rsidRPr="0046118F">
        <w:rPr>
          <w:rStyle w:val="Strong"/>
        </w:rPr>
        <w:br w:type="page"/>
      </w:r>
    </w:p>
    <w:p w:rsidR="00C57D02" w:rsidRDefault="00C57D02" w:rsidP="003C662F">
      <w:pPr>
        <w:jc w:val="both"/>
        <w:rPr>
          <w:rStyle w:val="Strong"/>
          <w:rFonts w:cs="Times New Roman"/>
          <w:szCs w:val="24"/>
        </w:rPr>
        <w:sectPr w:rsidR="00C57D02" w:rsidSect="00C57D02">
          <w:footerReference w:type="default" r:id="rId9"/>
          <w:pgSz w:w="11906" w:h="16838"/>
          <w:pgMar w:top="1417" w:right="1417" w:bottom="1417" w:left="1417" w:header="708" w:footer="708" w:gutter="0"/>
          <w:pgNumType w:start="1"/>
          <w:cols w:space="708"/>
          <w:docGrid w:linePitch="360"/>
        </w:sectPr>
      </w:pPr>
    </w:p>
    <w:p w:rsidR="00E732FF" w:rsidRPr="00E732FF" w:rsidRDefault="00E732FF" w:rsidP="00E732FF">
      <w:pPr>
        <w:pStyle w:val="Heading1"/>
      </w:pPr>
      <w:bookmarkStart w:id="0" w:name="_Toc7695559"/>
      <w:r>
        <w:lastRenderedPageBreak/>
        <w:t>1. UVOD</w:t>
      </w:r>
      <w:bookmarkEnd w:id="0"/>
    </w:p>
    <w:p w:rsidR="00E732FF" w:rsidRDefault="00E732FF" w:rsidP="00E732FF">
      <w:pPr>
        <w:pStyle w:val="Heading2"/>
        <w:numPr>
          <w:ilvl w:val="1"/>
          <w:numId w:val="18"/>
        </w:numPr>
        <w:spacing w:after="300"/>
        <w:ind w:left="641" w:hanging="357"/>
      </w:pPr>
      <w:bookmarkStart w:id="1" w:name="_Toc7695560"/>
      <w:r>
        <w:t>Karcinom želuca</w:t>
      </w:r>
      <w:bookmarkEnd w:id="1"/>
    </w:p>
    <w:p w:rsidR="00F529BC" w:rsidRPr="00FC5A3E" w:rsidRDefault="00DB17EF" w:rsidP="00E67E82">
      <w:pPr>
        <w:spacing w:line="360" w:lineRule="auto"/>
        <w:jc w:val="both"/>
        <w:rPr>
          <w:rStyle w:val="Strong"/>
          <w:b w:val="0"/>
          <w:sz w:val="20"/>
          <w:szCs w:val="20"/>
        </w:rPr>
      </w:pPr>
      <w:r w:rsidRPr="00FC5A3E">
        <w:rPr>
          <w:rStyle w:val="Strong"/>
          <w:b w:val="0"/>
          <w:sz w:val="20"/>
          <w:szCs w:val="20"/>
        </w:rPr>
        <w:t>Prema GLOBOCAN podacima za 2018. godinu u svijetu se godišnje dijagnosticira preko m</w:t>
      </w:r>
      <w:r w:rsidR="00753810" w:rsidRPr="00FC5A3E">
        <w:rPr>
          <w:rStyle w:val="Strong"/>
          <w:b w:val="0"/>
          <w:sz w:val="20"/>
          <w:szCs w:val="20"/>
        </w:rPr>
        <w:t>ilijun novih slučajeva raka</w:t>
      </w:r>
      <w:r w:rsidRPr="00FC5A3E">
        <w:rPr>
          <w:rStyle w:val="Strong"/>
          <w:b w:val="0"/>
          <w:sz w:val="20"/>
          <w:szCs w:val="20"/>
        </w:rPr>
        <w:t xml:space="preserve"> želuca. Procjenjuje se da je oko </w:t>
      </w:r>
      <w:r w:rsidR="00753810" w:rsidRPr="00FC5A3E">
        <w:rPr>
          <w:rStyle w:val="Strong"/>
          <w:b w:val="0"/>
          <w:sz w:val="20"/>
          <w:szCs w:val="20"/>
        </w:rPr>
        <w:t>783 000 ljudi umrlo od raka</w:t>
      </w:r>
      <w:r w:rsidRPr="00FC5A3E">
        <w:rPr>
          <w:rStyle w:val="Strong"/>
          <w:b w:val="0"/>
          <w:sz w:val="20"/>
          <w:szCs w:val="20"/>
        </w:rPr>
        <w:t xml:space="preserve"> želuca u 2018. godini. </w:t>
      </w:r>
      <w:r w:rsidR="00753810" w:rsidRPr="00FC5A3E">
        <w:rPr>
          <w:rStyle w:val="Strong"/>
          <w:b w:val="0"/>
          <w:sz w:val="20"/>
          <w:szCs w:val="20"/>
        </w:rPr>
        <w:t xml:space="preserve">Rak želuca peta je najčešća zloćudna novotvorina u svijetu, a  ujedno je i treći najčešći uzrok </w:t>
      </w:r>
      <w:r w:rsidR="00700306" w:rsidRPr="00FC5A3E">
        <w:rPr>
          <w:rStyle w:val="Strong"/>
          <w:b w:val="0"/>
          <w:sz w:val="20"/>
          <w:szCs w:val="20"/>
        </w:rPr>
        <w:t>smrti od zloćudnih novotvorina</w:t>
      </w:r>
      <w:r w:rsidR="002D159D" w:rsidRPr="00FC5A3E">
        <w:rPr>
          <w:rStyle w:val="Strong"/>
          <w:b w:val="0"/>
          <w:sz w:val="20"/>
          <w:szCs w:val="20"/>
        </w:rPr>
        <w:t xml:space="preserve"> </w:t>
      </w:r>
      <w:r w:rsidR="002D159D" w:rsidRPr="00FC5A3E">
        <w:rPr>
          <w:rStyle w:val="Strong"/>
          <w:b w:val="0"/>
          <w:sz w:val="20"/>
          <w:szCs w:val="20"/>
        </w:rPr>
        <w:fldChar w:fldCharType="begin" w:fldLock="1"/>
      </w:r>
      <w:r w:rsidR="00BD6497" w:rsidRPr="00FC5A3E">
        <w:rPr>
          <w:rStyle w:val="Strong"/>
          <w:b w:val="0"/>
          <w:sz w:val="20"/>
          <w:szCs w:val="20"/>
        </w:rPr>
        <w:instrText>ADDIN CSL_CITATION {"citationItems":[{"id":"ITEM-1","itemData":{"DOI":"10.3322/caac.21492","ISSN":"1542-4863","PMID":"30207593","abstract":"This article provides a status report on the global burden of cancer worldwide using the GLOBOCAN 2018 estimates of cancer incidence and mortality produced by the International Agency for Research on Cancer, with a focus on geographic variability across 20 world regions. There will be an estimated 18.1 million new cancer cases (17.0 million excluding nonmelanoma skin cancer) and 9.6 million cancer deaths (9.5 million excluding nonmelanoma skin cancer) in 2018. In both sexes combined, lung cancer is the most commonly diagnosed cancer (11.6% of the total cases) and the leading cause of cancer death (18.4% of the total cancer deaths), closely followed by female breast cancer (11.6%), prostate cancer (7.1%), and colorectal cancer (6.1%) for incidence and colorectal cancer (9.2%), stomach cancer (8.2%), and liver cancer (8.2%) for mortality. Lung cancer is the most frequent cancer and the leading cause of cancer death among males, followed by prostate and colorectal cancer (for incidence) and liver and stomach cancer (for mortality). Among females, breast cancer is the most commonly diagnosed cancer and the leading cause of cancer death, followed by colorectal and lung cancer (for incidence), and vice versa (for mortality); cervical cancer ranks fourth for both incidence and mortality. The most frequently diagnosed cancer and the leading cause of cancer death, however, substantially vary across countries and within each country depending on the degree of economic development and associated social and life style factors. It is noteworthy that high-quality cancer registry data, the basis for planning and implementing evidence-based cancer control programs, are not available in most low- and middle-income countries. The Global Initiative for Cancer Registry Development is an international partnership that supports better estimation, as well as the collection and use of local data, to prioritize and evaluate national cancer control efforts. CA: A Cancer Journal for Clinicians 2018;0:1-31. © 2018 American Cancer Society.","author":[{"dropping-particle":"","family":"Bray","given":"Freddie","non-dropping-particle":"","parse-names":false,"suffix":""},{"dropping-particle":"","family":"Ferlay","given":"Jacques","non-dropping-particle":"","parse-names":false,"suffix":""},{"dropping-particle":"","family":"Soerjomataram","given":"Isabelle","non-dropping-particle":"","parse-names":false,"suffix":""},{"dropping-particle":"","family":"Siegel","given":"Rebecca L","non-dropping-particle":"","parse-names":false,"suffix":""},{"dropping-particle":"","family":"Torre","given":"Lindsey A","non-dropping-particle":"","parse-names":false,"suffix":""},{"dropping-particle":"","family":"Jemal","given":"Ahmedin","non-dropping-particle":"","parse-names":false,"suffix":""}],"container-title":"CA: a cancer journal for clinicians","id":"ITEM-1","issue":"6","issued":{"date-parts":[["2018"]]},"page":"394-424","title":"Global cancer statistics 2018: GLOBOCAN estimates of incidence and mortality worldwide for 36 cancers in 185 countries.","type":"article-journal","volume":"68"},"uris":["http://www.mendeley.com/documents/?uuid=f8768d8d-7990-43e4-bdc6-3ee8dcda3945"]}],"mendeley":{"formattedCitation":"(Bray &lt;i&gt;et al.&lt;/i&gt;, 2018)","manualFormatting":"(Bray i sur., 2018)","plainTextFormattedCitation":"(Bray et al., 2018)","previouslyFormattedCitation":"(Bray &lt;i&gt;et al.&lt;/i&gt;, 2018)"},"properties":{"noteIndex":0},"schema":"https://github.com/citation-style-language/schema/raw/master/csl-citation.json"}</w:instrText>
      </w:r>
      <w:r w:rsidR="002D159D" w:rsidRPr="00FC5A3E">
        <w:rPr>
          <w:rStyle w:val="Strong"/>
          <w:b w:val="0"/>
          <w:sz w:val="20"/>
          <w:szCs w:val="20"/>
        </w:rPr>
        <w:fldChar w:fldCharType="separate"/>
      </w:r>
      <w:r w:rsidR="002D159D" w:rsidRPr="00FC5A3E">
        <w:rPr>
          <w:rStyle w:val="Strong"/>
          <w:b w:val="0"/>
          <w:noProof/>
          <w:sz w:val="20"/>
          <w:szCs w:val="20"/>
        </w:rPr>
        <w:t xml:space="preserve">(Bray </w:t>
      </w:r>
      <w:r w:rsidR="002D159D" w:rsidRPr="00FC5A3E">
        <w:rPr>
          <w:rStyle w:val="Strong"/>
          <w:b w:val="0"/>
          <w:i/>
          <w:noProof/>
          <w:sz w:val="20"/>
          <w:szCs w:val="20"/>
        </w:rPr>
        <w:t>i sur.,</w:t>
      </w:r>
      <w:r w:rsidR="002D159D" w:rsidRPr="00FC5A3E">
        <w:rPr>
          <w:rStyle w:val="Strong"/>
          <w:b w:val="0"/>
          <w:noProof/>
          <w:sz w:val="20"/>
          <w:szCs w:val="20"/>
        </w:rPr>
        <w:t xml:space="preserve"> 2018)</w:t>
      </w:r>
      <w:r w:rsidR="002D159D" w:rsidRPr="00FC5A3E">
        <w:rPr>
          <w:rStyle w:val="Strong"/>
          <w:b w:val="0"/>
          <w:sz w:val="20"/>
          <w:szCs w:val="20"/>
        </w:rPr>
        <w:fldChar w:fldCharType="end"/>
      </w:r>
      <w:r w:rsidR="00700306" w:rsidRPr="00FC5A3E">
        <w:rPr>
          <w:rStyle w:val="Strong"/>
          <w:b w:val="0"/>
          <w:sz w:val="20"/>
          <w:szCs w:val="20"/>
        </w:rPr>
        <w:t>.</w:t>
      </w:r>
      <w:r w:rsidR="00793D01" w:rsidRPr="00FC5A3E">
        <w:rPr>
          <w:rStyle w:val="Strong"/>
          <w:b w:val="0"/>
          <w:sz w:val="20"/>
          <w:szCs w:val="20"/>
        </w:rPr>
        <w:t xml:space="preserve"> Incidencija karcinoma želuca jako varira u ovisnosti o regionalnoj i kulturološkoj pripadnosti. </w:t>
      </w:r>
      <w:r w:rsidR="00703583" w:rsidRPr="00FC5A3E">
        <w:rPr>
          <w:rStyle w:val="Strong"/>
          <w:b w:val="0"/>
          <w:sz w:val="20"/>
          <w:szCs w:val="20"/>
        </w:rPr>
        <w:t>Najveće stope incidencije i mortaliteta bilježe se</w:t>
      </w:r>
      <w:r w:rsidR="00793D01" w:rsidRPr="00FC5A3E">
        <w:rPr>
          <w:rStyle w:val="Strong"/>
          <w:b w:val="0"/>
          <w:sz w:val="20"/>
          <w:szCs w:val="20"/>
        </w:rPr>
        <w:t xml:space="preserve"> </w:t>
      </w:r>
      <w:r w:rsidR="00703583" w:rsidRPr="00FC5A3E">
        <w:rPr>
          <w:rStyle w:val="Strong"/>
          <w:b w:val="0"/>
          <w:sz w:val="20"/>
          <w:szCs w:val="20"/>
        </w:rPr>
        <w:t>u Istočnoj i S</w:t>
      </w:r>
      <w:r w:rsidR="00793D01" w:rsidRPr="00FC5A3E">
        <w:rPr>
          <w:rStyle w:val="Strong"/>
          <w:b w:val="0"/>
          <w:sz w:val="20"/>
          <w:szCs w:val="20"/>
        </w:rPr>
        <w:t>redišn</w:t>
      </w:r>
      <w:r w:rsidR="00703583" w:rsidRPr="00FC5A3E">
        <w:rPr>
          <w:rStyle w:val="Strong"/>
          <w:b w:val="0"/>
          <w:sz w:val="20"/>
          <w:szCs w:val="20"/>
        </w:rPr>
        <w:t>joj Aziji te u Latinskoj Americi</w:t>
      </w:r>
      <w:r w:rsidR="00BD6497" w:rsidRPr="00FC5A3E">
        <w:rPr>
          <w:rStyle w:val="Strong"/>
          <w:b w:val="0"/>
          <w:sz w:val="20"/>
          <w:szCs w:val="20"/>
        </w:rPr>
        <w:t xml:space="preserve"> </w:t>
      </w:r>
      <w:r w:rsidR="00BD6497" w:rsidRPr="00FC5A3E">
        <w:rPr>
          <w:rStyle w:val="Strong"/>
          <w:b w:val="0"/>
          <w:sz w:val="20"/>
          <w:szCs w:val="20"/>
        </w:rPr>
        <w:fldChar w:fldCharType="begin" w:fldLock="1"/>
      </w:r>
      <w:r w:rsidR="00BD6497" w:rsidRPr="00FC5A3E">
        <w:rPr>
          <w:rStyle w:val="Strong"/>
          <w:b w:val="0"/>
          <w:sz w:val="20"/>
          <w:szCs w:val="20"/>
        </w:rPr>
        <w:instrText>ADDIN CSL_CITATION {"citationItems":[{"id":"ITEM-1","itemData":{"DOI":"10.1007/s11894-017-0575-8","ISBN":"1189401705758","ISSN":"1534312X","abstract":"The paper aims to discuss the global trends in gastric cancer incidence in relation to important factors involved in the pathogenesis of gastric cancer.","author":[{"dropping-particle":"","family":"Balakrishnan","given":"Maya","non-dropping-particle":"","parse-names":false,"suffix":""},{"dropping-particle":"","family":"George","given":"Rollin","non-dropping-particle":"","parse-names":false,"suffix":""},{"dropping-particle":"","family":"Sharma","given":"Ashish","non-dropping-particle":"","parse-names":false,"suffix":""},{"dropping-particle":"","family":"Graham","given":"David Y.","non-dropping-particle":"","parse-names":false,"suffix":""}],"container-title":"Current Gastroenterology Reports","id":"ITEM-1","issue":"8","issued":{"date-parts":[["2017"]]},"publisher":"Current Gastroenterology Reports","title":"Changing Trends in Stomach Cancer Throughout the World","type":"article-journal","volume":"19"},"uris":["http://www.mendeley.com/documents/?uuid=17371c8b-3b97-42b0-8e66-9a13376f93c4"]}],"mendeley":{"formattedCitation":"(Balakrishnan &lt;i&gt;et al.&lt;/i&gt;, 2017)","manualFormatting":"(Balakrishnan i sur., 2017)","plainTextFormattedCitation":"(Balakrishnan et al., 2017)","previouslyFormattedCitation":"(Balakrishnan &lt;i&gt;et al.&lt;/i&gt;, 2017)"},"properties":{"noteIndex":0},"schema":"https://github.com/citation-style-language/schema/raw/master/csl-citation.json"}</w:instrText>
      </w:r>
      <w:r w:rsidR="00BD6497" w:rsidRPr="00FC5A3E">
        <w:rPr>
          <w:rStyle w:val="Strong"/>
          <w:b w:val="0"/>
          <w:sz w:val="20"/>
          <w:szCs w:val="20"/>
        </w:rPr>
        <w:fldChar w:fldCharType="separate"/>
      </w:r>
      <w:r w:rsidR="00BD6497" w:rsidRPr="00FC5A3E">
        <w:rPr>
          <w:rStyle w:val="Strong"/>
          <w:b w:val="0"/>
          <w:noProof/>
          <w:sz w:val="20"/>
          <w:szCs w:val="20"/>
        </w:rPr>
        <w:t xml:space="preserve">(Balakrishnan </w:t>
      </w:r>
      <w:r w:rsidR="00BD6497" w:rsidRPr="00FC5A3E">
        <w:rPr>
          <w:rStyle w:val="Strong"/>
          <w:b w:val="0"/>
          <w:i/>
          <w:noProof/>
          <w:sz w:val="20"/>
          <w:szCs w:val="20"/>
        </w:rPr>
        <w:t>i sur.,</w:t>
      </w:r>
      <w:r w:rsidR="00BD6497" w:rsidRPr="00FC5A3E">
        <w:rPr>
          <w:rStyle w:val="Strong"/>
          <w:b w:val="0"/>
          <w:noProof/>
          <w:sz w:val="20"/>
          <w:szCs w:val="20"/>
        </w:rPr>
        <w:t xml:space="preserve"> 2017)</w:t>
      </w:r>
      <w:r w:rsidR="00BD6497" w:rsidRPr="00FC5A3E">
        <w:rPr>
          <w:rStyle w:val="Strong"/>
          <w:b w:val="0"/>
          <w:sz w:val="20"/>
          <w:szCs w:val="20"/>
        </w:rPr>
        <w:fldChar w:fldCharType="end"/>
      </w:r>
      <w:r w:rsidR="00703583" w:rsidRPr="00FC5A3E">
        <w:rPr>
          <w:rStyle w:val="Strong"/>
          <w:b w:val="0"/>
          <w:sz w:val="20"/>
          <w:szCs w:val="20"/>
        </w:rPr>
        <w:t>.</w:t>
      </w:r>
      <w:r w:rsidR="00793D01" w:rsidRPr="00FC5A3E">
        <w:rPr>
          <w:rStyle w:val="Strong"/>
          <w:b w:val="0"/>
          <w:sz w:val="20"/>
          <w:szCs w:val="20"/>
        </w:rPr>
        <w:t xml:space="preserve"> </w:t>
      </w:r>
      <w:r w:rsidR="00E732FF" w:rsidRPr="00FC5A3E">
        <w:rPr>
          <w:rStyle w:val="Strong"/>
          <w:b w:val="0"/>
          <w:sz w:val="20"/>
          <w:szCs w:val="20"/>
        </w:rPr>
        <w:t>U Hrvatskoj je u 2016. godini od raka želuca oboljelo 576 muškaraca i 372 žene. Stopa incidencije za muškarce iznosila je 28.6/100 000, a za žene 17.2/100 000. Dakle, rak želuca šesto je najčešće sijelo raka kod muškaraca i deveto najčešće sijelo raka kod žena u</w:t>
      </w:r>
      <w:r w:rsidR="00793D01" w:rsidRPr="00FC5A3E">
        <w:rPr>
          <w:rStyle w:val="Strong"/>
          <w:b w:val="0"/>
          <w:sz w:val="20"/>
          <w:szCs w:val="20"/>
        </w:rPr>
        <w:t xml:space="preserve"> Republici Hrvatskoj </w:t>
      </w:r>
      <w:r w:rsidR="00BD6497" w:rsidRPr="00FC5A3E">
        <w:rPr>
          <w:rStyle w:val="Strong"/>
          <w:b w:val="0"/>
          <w:sz w:val="20"/>
          <w:szCs w:val="20"/>
        </w:rPr>
        <w:fldChar w:fldCharType="begin" w:fldLock="1"/>
      </w:r>
      <w:r w:rsidR="00BD6497" w:rsidRPr="00FC5A3E">
        <w:rPr>
          <w:rStyle w:val="Strong"/>
          <w:b w:val="0"/>
          <w:sz w:val="20"/>
          <w:szCs w:val="20"/>
        </w:rPr>
        <w:instrText>ADDIN CSL_CITATION {"citationItems":[{"id":"ITEM-1","itemData":{"author":[{"dropping-particle":"","family":"Hrvatski zavod za javno zdravstvo","given":"","non-dropping-particle":"","parse-names":false,"suffix":""}],"id":"ITEM-1","issue":"41","issued":{"date-parts":[["2016"]]},"title":"Registar za rak Republike Hrvatske. Incidencija raka u Hrvatskoj 2014.","type":"article-journal"},"uris":["http://www.mendeley.com/documents/?uuid=6410f755-608d-47dc-9a77-1370dd89657a"]}],"mendeley":{"formattedCitation":"(Hrvatski zavod za javno zdravstvo, 2016)","plainTextFormattedCitation":"(Hrvatski zavod za javno zdravstvo, 2016)","previouslyFormattedCitation":"(Hrvatski zavod za javno zdravstvo, 2016)"},"properties":{"noteIndex":0},"schema":"https://github.com/citation-style-language/schema/raw/master/csl-citation.json"}</w:instrText>
      </w:r>
      <w:r w:rsidR="00BD6497" w:rsidRPr="00FC5A3E">
        <w:rPr>
          <w:rStyle w:val="Strong"/>
          <w:b w:val="0"/>
          <w:sz w:val="20"/>
          <w:szCs w:val="20"/>
        </w:rPr>
        <w:fldChar w:fldCharType="separate"/>
      </w:r>
      <w:r w:rsidR="00BD6497" w:rsidRPr="00FC5A3E">
        <w:rPr>
          <w:rStyle w:val="Strong"/>
          <w:b w:val="0"/>
          <w:noProof/>
          <w:sz w:val="20"/>
          <w:szCs w:val="20"/>
        </w:rPr>
        <w:t>(Hrvatski zavod za javno zdravstvo, 2016)</w:t>
      </w:r>
      <w:r w:rsidR="00BD6497" w:rsidRPr="00FC5A3E">
        <w:rPr>
          <w:rStyle w:val="Strong"/>
          <w:b w:val="0"/>
          <w:sz w:val="20"/>
          <w:szCs w:val="20"/>
        </w:rPr>
        <w:fldChar w:fldCharType="end"/>
      </w:r>
      <w:r w:rsidR="00BD6497" w:rsidRPr="00FC5A3E">
        <w:rPr>
          <w:rStyle w:val="Strong"/>
          <w:b w:val="0"/>
          <w:sz w:val="20"/>
          <w:szCs w:val="20"/>
        </w:rPr>
        <w:t xml:space="preserve">. </w:t>
      </w:r>
      <w:r w:rsidR="00C92C5B" w:rsidRPr="00FC5A3E">
        <w:rPr>
          <w:rStyle w:val="Strong"/>
          <w:b w:val="0"/>
          <w:sz w:val="20"/>
          <w:szCs w:val="20"/>
        </w:rPr>
        <w:t>Oko 95% svih zloćudnih novotvorina</w:t>
      </w:r>
      <w:r w:rsidR="00E732FF" w:rsidRPr="00FC5A3E">
        <w:rPr>
          <w:rStyle w:val="Strong"/>
          <w:b w:val="0"/>
          <w:sz w:val="20"/>
          <w:szCs w:val="20"/>
        </w:rPr>
        <w:t xml:space="preserve"> želuca </w:t>
      </w:r>
      <w:r w:rsidR="00C92C5B" w:rsidRPr="00FC5A3E">
        <w:rPr>
          <w:rStyle w:val="Strong"/>
          <w:b w:val="0"/>
          <w:sz w:val="20"/>
          <w:szCs w:val="20"/>
        </w:rPr>
        <w:t xml:space="preserve">su </w:t>
      </w:r>
      <w:r w:rsidR="00E732FF" w:rsidRPr="00FC5A3E">
        <w:rPr>
          <w:rStyle w:val="Strong"/>
          <w:b w:val="0"/>
          <w:sz w:val="20"/>
          <w:szCs w:val="20"/>
        </w:rPr>
        <w:t>adenokarcinom</w:t>
      </w:r>
      <w:r w:rsidR="00C92C5B" w:rsidRPr="00FC5A3E">
        <w:rPr>
          <w:rStyle w:val="Strong"/>
          <w:b w:val="0"/>
          <w:sz w:val="20"/>
          <w:szCs w:val="20"/>
        </w:rPr>
        <w:t>i</w:t>
      </w:r>
      <w:r w:rsidR="00793D01" w:rsidRPr="00FC5A3E">
        <w:rPr>
          <w:rStyle w:val="Strong"/>
          <w:b w:val="0"/>
          <w:sz w:val="20"/>
          <w:szCs w:val="20"/>
        </w:rPr>
        <w:t>, a</w:t>
      </w:r>
      <w:r w:rsidR="00C92C5B" w:rsidRPr="00FC5A3E">
        <w:rPr>
          <w:rStyle w:val="Strong"/>
          <w:b w:val="0"/>
          <w:sz w:val="20"/>
          <w:szCs w:val="20"/>
        </w:rPr>
        <w:t xml:space="preserve"> od ostalih najčešći je</w:t>
      </w:r>
      <w:r w:rsidR="00703583" w:rsidRPr="00FC5A3E">
        <w:rPr>
          <w:rStyle w:val="Strong"/>
          <w:b w:val="0"/>
          <w:sz w:val="20"/>
          <w:szCs w:val="20"/>
        </w:rPr>
        <w:t xml:space="preserve"> primarni </w:t>
      </w:r>
      <w:r w:rsidR="00793D01" w:rsidRPr="00FC5A3E">
        <w:rPr>
          <w:rStyle w:val="Strong"/>
          <w:b w:val="0"/>
          <w:sz w:val="20"/>
          <w:szCs w:val="20"/>
        </w:rPr>
        <w:t>limfom</w:t>
      </w:r>
      <w:r w:rsidR="00BD6497" w:rsidRPr="00FC5A3E">
        <w:rPr>
          <w:rStyle w:val="Strong"/>
          <w:b w:val="0"/>
          <w:sz w:val="20"/>
          <w:szCs w:val="20"/>
        </w:rPr>
        <w:t xml:space="preserve"> želuca </w:t>
      </w:r>
      <w:r w:rsidR="00BD6497" w:rsidRPr="00FC5A3E">
        <w:rPr>
          <w:rStyle w:val="Strong"/>
          <w:b w:val="0"/>
          <w:sz w:val="20"/>
          <w:szCs w:val="20"/>
        </w:rPr>
        <w:fldChar w:fldCharType="begin" w:fldLock="1"/>
      </w:r>
      <w:r w:rsidR="00D45472" w:rsidRPr="00FC5A3E">
        <w:rPr>
          <w:rStyle w:val="Strong"/>
          <w:b w:val="0"/>
          <w:sz w:val="20"/>
          <w:szCs w:val="20"/>
        </w:rPr>
        <w:instrText>ADDIN CSL_CITATION {"citationItems":[{"id":"ITEM-1","itemData":{"DOI":"10.5114/pg.2018.80001","abstract":"Gastric cancer remains one of the most common and deadly cancers worldwide, especially among older males. Based on GLOBOCAN 2018 data, stomach cancer is the 5 th most common neoplasm and the 3 rd most deadly cancer, with an estimated 783,000 deaths in 2018. Gastric cancer incidence and mortality are highly variable by region and highly dependent on diet and Helicobacter pylori infection. While strides in preventing and treating H. pylori infection have decreased the overall incidence of gastric cancer, they have also contributed to an increase in the incidence of cardia gastric cancer, a rare subtype of the neoplasm that has grown 7-fold in the past decades. A better understanding of the etiology and risk factors of the disease can help reach a consensus in approaching H. pylori infection. Dietary modification, smoking cessation, and exercise hold promise in preventing gastric cancer, while genetic testing is enabling earlier diagnosis and thus greater survival.","author":[{"dropping-particle":"","family":"Rawla","given":"Prashanth","non-dropping-particle":"","parse-names":false,"suffix":""},{"dropping-particle":"","family":"Barsouk","given":"Adam","non-dropping-particle":"","parse-names":false,"suffix":""}],"container-title":"Gastroenterology Review","id":"ITEM-1","issue":"1","issued":{"date-parts":[["2019"]]},"title":"Epidemiology of gastric cancer: global trends, risk factors and prevention","type":"article-journal","volume":"14"},"uris":["http://www.mendeley.com/documents/?uuid=f8509313-4910-43ab-abb0-ed9e80a3a9de"]}],"mendeley":{"formattedCitation":"(Rawla and Barsouk, 2019)","manualFormatting":"(Rawla i Barsouk, 2019)","plainTextFormattedCitation":"(Rawla and Barsouk, 2019)","previouslyFormattedCitation":"(Rawla and Barsouk, 2019)"},"properties":{"noteIndex":0},"schema":"https://github.com/citation-style-language/schema/raw/master/csl-citation.json"}</w:instrText>
      </w:r>
      <w:r w:rsidR="00BD6497" w:rsidRPr="00FC5A3E">
        <w:rPr>
          <w:rStyle w:val="Strong"/>
          <w:b w:val="0"/>
          <w:sz w:val="20"/>
          <w:szCs w:val="20"/>
        </w:rPr>
        <w:fldChar w:fldCharType="separate"/>
      </w:r>
      <w:r w:rsidR="00BD6497" w:rsidRPr="00FC5A3E">
        <w:rPr>
          <w:rStyle w:val="Strong"/>
          <w:b w:val="0"/>
          <w:noProof/>
          <w:sz w:val="20"/>
          <w:szCs w:val="20"/>
        </w:rPr>
        <w:t xml:space="preserve">(Rawla </w:t>
      </w:r>
      <w:r w:rsidR="00D45472" w:rsidRPr="00FC5A3E">
        <w:rPr>
          <w:rStyle w:val="Strong"/>
          <w:b w:val="0"/>
          <w:noProof/>
          <w:sz w:val="20"/>
          <w:szCs w:val="20"/>
        </w:rPr>
        <w:t>i</w:t>
      </w:r>
      <w:r w:rsidR="00BD6497" w:rsidRPr="00FC5A3E">
        <w:rPr>
          <w:rStyle w:val="Strong"/>
          <w:b w:val="0"/>
          <w:noProof/>
          <w:sz w:val="20"/>
          <w:szCs w:val="20"/>
        </w:rPr>
        <w:t xml:space="preserve"> Barsouk, 2019)</w:t>
      </w:r>
      <w:r w:rsidR="00BD6497" w:rsidRPr="00FC5A3E">
        <w:rPr>
          <w:rStyle w:val="Strong"/>
          <w:b w:val="0"/>
          <w:sz w:val="20"/>
          <w:szCs w:val="20"/>
        </w:rPr>
        <w:fldChar w:fldCharType="end"/>
      </w:r>
      <w:r w:rsidR="00BD6497" w:rsidRPr="00FC5A3E">
        <w:rPr>
          <w:rStyle w:val="Strong"/>
          <w:b w:val="0"/>
          <w:sz w:val="20"/>
          <w:szCs w:val="20"/>
        </w:rPr>
        <w:t xml:space="preserve">. </w:t>
      </w:r>
      <w:r w:rsidR="00A822FF" w:rsidRPr="00FC5A3E">
        <w:rPr>
          <w:rStyle w:val="Strong"/>
          <w:b w:val="0"/>
          <w:sz w:val="20"/>
          <w:szCs w:val="20"/>
        </w:rPr>
        <w:t>Postoji nekoliko klasifikacija karcinoma želuca. Laurén  je 1965. godine karcinom želuca podijelio na dva glavna histološka tipa: intestinalni i difuzni.</w:t>
      </w:r>
      <w:r w:rsidR="009B2E53" w:rsidRPr="00FC5A3E">
        <w:rPr>
          <w:rStyle w:val="Strong"/>
          <w:b w:val="0"/>
          <w:sz w:val="20"/>
          <w:szCs w:val="20"/>
        </w:rPr>
        <w:t xml:space="preserve"> Intestinalni tip karakterizira uglavnom žljezdana struktura, veliki i dobro definirani lumeni žlijezda, veće i morfološki varijabilnije stanice i jezgre, hiperkromazija jezgara te česte mitotske figure. Nasuprot tomu, difuzni tip karcinoma želuca građen je od pojedinačnih raspršenih stanica ili stanica u malim nakupinama koje su slabo povezane.</w:t>
      </w:r>
      <w:r w:rsidR="00A60287" w:rsidRPr="00FC5A3E">
        <w:rPr>
          <w:sz w:val="20"/>
          <w:szCs w:val="20"/>
        </w:rPr>
        <w:t xml:space="preserve"> </w:t>
      </w:r>
      <w:r w:rsidR="00A60287" w:rsidRPr="00FC5A3E">
        <w:rPr>
          <w:rStyle w:val="Strong"/>
          <w:b w:val="0"/>
          <w:sz w:val="20"/>
          <w:szCs w:val="20"/>
        </w:rPr>
        <w:t xml:space="preserve">Lumeni žlijezda rijetko su vidljivi, a i tad su mali i nejasni. </w:t>
      </w:r>
      <w:r w:rsidR="009B2E53" w:rsidRPr="00FC5A3E">
        <w:rPr>
          <w:rStyle w:val="Strong"/>
          <w:b w:val="0"/>
          <w:sz w:val="20"/>
          <w:szCs w:val="20"/>
        </w:rPr>
        <w:t xml:space="preserve"> Stanice su morfološki uniformnije, a jezgre manje, također uniformnije, često i piknotične.</w:t>
      </w:r>
      <w:r w:rsidR="00A60287" w:rsidRPr="00FC5A3E">
        <w:rPr>
          <w:rStyle w:val="Strong"/>
          <w:b w:val="0"/>
          <w:sz w:val="20"/>
          <w:szCs w:val="20"/>
        </w:rPr>
        <w:t xml:space="preserve"> Jezgre potisnute na periferiju obilnom intracelularnom sluzi stanicama daju izgled prstena pečatnjaka. Intestinalni tip češće se javlja kod muškaraca, dok kod difuznog tipa nema razlike prema spolu, a javlja se kod mlađih osoba. Intestinalni tip karcinoma želuca češće je povezan s kroničnim atrofičnim gastritisom i intestinalnom metaplazijom </w:t>
      </w:r>
      <w:r w:rsidR="00A60287" w:rsidRPr="00FC5A3E">
        <w:rPr>
          <w:rStyle w:val="Strong"/>
          <w:b w:val="0"/>
          <w:sz w:val="20"/>
          <w:szCs w:val="20"/>
        </w:rPr>
        <w:fldChar w:fldCharType="begin" w:fldLock="1"/>
      </w:r>
      <w:r w:rsidR="00A60287" w:rsidRPr="00FC5A3E">
        <w:rPr>
          <w:rStyle w:val="Strong"/>
          <w:b w:val="0"/>
          <w:sz w:val="20"/>
          <w:szCs w:val="20"/>
        </w:rPr>
        <w:instrText>ADDIN CSL_CITATION {"citationItems":[{"id":"ITEM-1","itemData":{"DOI":"10.1111/apm.1965.64.1.31","abstract":"Laurén P. The two histological main types of gastric carcinoma: diffuse and so-called intestinal-type carcinoma. Acta Pathol. Microbiol. Scand. 64:31-49, 1965. [Department of Pathological Anatomy, University of Turku. Finland] The classification of gastric carcinoma into the intestinal-type (IT) and the diffuse-type has been shown to be important for evaluation of prog-noses of patients as well as for epidemiologic and pathogenetic studies. The declining inci-dence of gastric cancer seen in many countries is connected with decreasing frequency of IT. [The SCI® indicates that this paper has been cited in more than 715 publications.] In the 1960s, under the leadershipof Osmo Jarvi, the Department of Pathology at the University of Turku was investigating the histology of gastric cancer, which was by that time the most common malignancy in Finland. The traditional classifications of gastric cancer were not satisfactory, as dif-ferent histologic structures could be found in a single tumor. After thorough examina-tion of the 1,344 cases of gastric cancer seen in the laboratory I noticed that a majority of them could be classified into two main types. One of them, the intestinal type (IT), was structurally similar to colonic cancer, but the other, the diffuse type (DT), was seen only in the stomach. There were even bio-logic differences between the main types: DT started in younger people than IT, and it was more common in females. IT was al-ways preceded by chronic gastritis with in-testinal metaplasia, DT started often from a mucosa of normal appearance. These differ-ences indicated different etiology and patho-genesis and probably also different histogen-esis of IT and DT.","author":[{"dropping-particle":"","family":"LAURÉN","given":"PEKKA","non-dropping-particle":"","parse-names":false,"suffix":""}],"container-title":"Acta Pathologica Microbiologica Scandinavica","id":"ITEM-1","issue":"1","issued":{"date-parts":[["2017"]]},"page":"31-49","title":"the Two Histological Main Types of Gastric Carcinoma: Diffuse and So-Called Intestinal-Type Carcinoma","type":"article-journal","volume":"64"},"uris":["http://www.mendeley.com/documents/?uuid=cf7a7c68-8d0a-4cd3-9518-d2e201b535a8"]}],"mendeley":{"formattedCitation":"(LAURÉN, 2017)","plainTextFormattedCitation":"(LAURÉN, 2017)","previouslyFormattedCitation":"(LAURÉN, 2017)"},"properties":{"noteIndex":0},"schema":"https://github.com/citation-style-language/schema/raw/master/csl-citation.json"}</w:instrText>
      </w:r>
      <w:r w:rsidR="00A60287" w:rsidRPr="00FC5A3E">
        <w:rPr>
          <w:rStyle w:val="Strong"/>
          <w:b w:val="0"/>
          <w:sz w:val="20"/>
          <w:szCs w:val="20"/>
        </w:rPr>
        <w:fldChar w:fldCharType="separate"/>
      </w:r>
      <w:r w:rsidR="00A60287" w:rsidRPr="00FC5A3E">
        <w:rPr>
          <w:rStyle w:val="Strong"/>
          <w:b w:val="0"/>
          <w:noProof/>
          <w:sz w:val="20"/>
          <w:szCs w:val="20"/>
        </w:rPr>
        <w:t>(LAURÉN, 2017)</w:t>
      </w:r>
      <w:r w:rsidR="00A60287" w:rsidRPr="00FC5A3E">
        <w:rPr>
          <w:rStyle w:val="Strong"/>
          <w:b w:val="0"/>
          <w:sz w:val="20"/>
          <w:szCs w:val="20"/>
        </w:rPr>
        <w:fldChar w:fldCharType="end"/>
      </w:r>
      <w:r w:rsidR="00A60287" w:rsidRPr="00FC5A3E">
        <w:rPr>
          <w:rStyle w:val="Strong"/>
          <w:b w:val="0"/>
          <w:sz w:val="20"/>
          <w:szCs w:val="20"/>
        </w:rPr>
        <w:t>. Ming je 1977. godine karcinome želuca prema načinu rasta podijelio na ekspanzivne i infiltrativne</w:t>
      </w:r>
      <w:r w:rsidR="00206632" w:rsidRPr="00FC5A3E">
        <w:rPr>
          <w:rStyle w:val="Strong"/>
          <w:b w:val="0"/>
          <w:sz w:val="20"/>
          <w:szCs w:val="20"/>
        </w:rPr>
        <w:t xml:space="preserve"> </w:t>
      </w:r>
      <w:r w:rsidR="00206632" w:rsidRPr="00FC5A3E">
        <w:rPr>
          <w:rStyle w:val="Strong"/>
          <w:b w:val="0"/>
          <w:sz w:val="20"/>
          <w:szCs w:val="20"/>
        </w:rPr>
        <w:fldChar w:fldCharType="begin" w:fldLock="1"/>
      </w:r>
      <w:r w:rsidR="00DF726A" w:rsidRPr="00FC5A3E">
        <w:rPr>
          <w:rStyle w:val="Strong"/>
          <w:b w:val="0"/>
          <w:sz w:val="20"/>
          <w:szCs w:val="20"/>
        </w:rPr>
        <w:instrText>ADDIN CSL_CITATION {"citationItems":[{"id":"ITEM-1","itemData":{"DOI":"10.1002/1097-0142(197706)39:6&lt;2475::AID-CNCR2820390626&gt;3.0.CO;2-L","ISSN":"10970142","abstract":"Gastric carcinomas had various pathological features. Based on patterns of growth and invasiveness, however, they fell into two types; expanding type and infiltrative type. These types were readily recognizable histologically: expanding carcinomas grew en masse and by expansion, resulting in the formation of discrete tumor nodules, whereas in infiltrative carcinoma tumor cells invaded individuality. Both types showed varying degrees of cell maturation, but glands were much more common in expanding carcinoma. The difference in growth pattern was reflected partly by gross appearance of the tumors. These two types of carcinoma appeared to be different in their histogenetic origins. Intestinal metaplasia probably played a role in the development of expanding, but not infiltrative, carcinoma. There were differences also in the sex and age of the patients, survival rate, and epidemiological distribution. Thus, this classification provided a simple basis for evaluation of various aspects of gastric cancer.","author":[{"dropping-particle":"","family":"Ming","given":"Si</w:instrText>
      </w:r>
      <w:r w:rsidR="00DF726A" w:rsidRPr="00FC5A3E">
        <w:rPr>
          <w:rStyle w:val="Strong"/>
          <w:rFonts w:ascii="Cambria Math" w:hAnsi="Cambria Math" w:cs="Cambria Math"/>
          <w:b w:val="0"/>
          <w:sz w:val="20"/>
          <w:szCs w:val="20"/>
        </w:rPr>
        <w:instrText>‐</w:instrText>
      </w:r>
      <w:r w:rsidR="00DF726A" w:rsidRPr="00FC5A3E">
        <w:rPr>
          <w:rStyle w:val="Strong"/>
          <w:b w:val="0"/>
          <w:sz w:val="20"/>
          <w:szCs w:val="20"/>
        </w:rPr>
        <w:instrText xml:space="preserve">Chun </w:instrText>
      </w:r>
      <w:r w:rsidR="00DF726A" w:rsidRPr="00FC5A3E">
        <w:rPr>
          <w:rStyle w:val="Strong"/>
          <w:rFonts w:ascii="Cambria Math" w:hAnsi="Cambria Math" w:cs="Cambria Math"/>
          <w:b w:val="0"/>
          <w:sz w:val="20"/>
          <w:szCs w:val="20"/>
        </w:rPr>
        <w:instrText>‐</w:instrText>
      </w:r>
      <w:r w:rsidR="00DF726A" w:rsidRPr="00FC5A3E">
        <w:rPr>
          <w:rStyle w:val="Strong"/>
          <w:b w:val="0"/>
          <w:sz w:val="20"/>
          <w:szCs w:val="20"/>
        </w:rPr>
        <w:instrText>C","non-dropping-particle":"","parse-names":false,"suffix":""}],"container-title":"Cancer","id":"ITEM-1","issue":"6","issued":{"date-parts":[["1977"]]},"page":"2475-2485","title":"Gastric carcinoma: A pathobiological classification","type":"article-journal","volume":"39"},"uris":["http://www.mendeley.com/documents/?uuid=c070c7a5-c5be-4a07-a1e7-b57342170a54"]}],"mendeley":{"formattedCitation":"(Ming, 1977)","plainTextFormattedCitation":"(Ming, 1977)","previouslyFormattedCitation":"(Ming, 1977)"},"properties":{"noteIndex":0},"schema":"https://github.com/citation-style-language/schema/raw/master/csl-citation.json"}</w:instrText>
      </w:r>
      <w:r w:rsidR="00206632" w:rsidRPr="00FC5A3E">
        <w:rPr>
          <w:rStyle w:val="Strong"/>
          <w:b w:val="0"/>
          <w:sz w:val="20"/>
          <w:szCs w:val="20"/>
        </w:rPr>
        <w:fldChar w:fldCharType="separate"/>
      </w:r>
      <w:r w:rsidR="00206632" w:rsidRPr="00FC5A3E">
        <w:rPr>
          <w:rStyle w:val="Strong"/>
          <w:b w:val="0"/>
          <w:noProof/>
          <w:sz w:val="20"/>
          <w:szCs w:val="20"/>
        </w:rPr>
        <w:t>(Ming, 1977)</w:t>
      </w:r>
      <w:r w:rsidR="00206632" w:rsidRPr="00FC5A3E">
        <w:rPr>
          <w:rStyle w:val="Strong"/>
          <w:b w:val="0"/>
          <w:sz w:val="20"/>
          <w:szCs w:val="20"/>
        </w:rPr>
        <w:fldChar w:fldCharType="end"/>
      </w:r>
      <w:r w:rsidR="00206632" w:rsidRPr="00FC5A3E">
        <w:rPr>
          <w:rStyle w:val="Strong"/>
          <w:b w:val="0"/>
          <w:sz w:val="20"/>
          <w:szCs w:val="20"/>
        </w:rPr>
        <w:t>. Prema histološkoj klasifikaciji Svjetske zdravstvene organizacije karcinomi želuca dijele se na papilarni, tubularni i mucinozni adenokarcinom</w:t>
      </w:r>
      <w:r w:rsidR="00732B41" w:rsidRPr="00FC5A3E">
        <w:rPr>
          <w:rStyle w:val="Strong"/>
          <w:b w:val="0"/>
          <w:sz w:val="20"/>
          <w:szCs w:val="20"/>
        </w:rPr>
        <w:t>, na</w:t>
      </w:r>
      <w:r w:rsidR="00206632" w:rsidRPr="00FC5A3E">
        <w:rPr>
          <w:rStyle w:val="Strong"/>
          <w:b w:val="0"/>
          <w:sz w:val="20"/>
          <w:szCs w:val="20"/>
        </w:rPr>
        <w:t xml:space="preserve"> slabo kohezivne karcinome</w:t>
      </w:r>
      <w:r w:rsidR="00732B41" w:rsidRPr="00FC5A3E">
        <w:rPr>
          <w:rStyle w:val="Strong"/>
          <w:b w:val="0"/>
          <w:sz w:val="20"/>
          <w:szCs w:val="20"/>
        </w:rPr>
        <w:t xml:space="preserve"> (uključujući</w:t>
      </w:r>
      <w:r w:rsidR="00732B41" w:rsidRPr="00FC5A3E">
        <w:rPr>
          <w:sz w:val="20"/>
          <w:szCs w:val="20"/>
        </w:rPr>
        <w:t xml:space="preserve"> </w:t>
      </w:r>
      <w:r w:rsidR="00732B41" w:rsidRPr="00FC5A3E">
        <w:rPr>
          <w:rStyle w:val="Strong"/>
          <w:b w:val="0"/>
          <w:sz w:val="20"/>
          <w:szCs w:val="20"/>
        </w:rPr>
        <w:t xml:space="preserve">karcinom stanica prstena pečatnjaka)  </w:t>
      </w:r>
      <w:r w:rsidR="00206632" w:rsidRPr="00FC5A3E">
        <w:rPr>
          <w:rStyle w:val="Strong"/>
          <w:b w:val="0"/>
          <w:sz w:val="20"/>
          <w:szCs w:val="20"/>
        </w:rPr>
        <w:t>te na mješovite</w:t>
      </w:r>
      <w:r w:rsidR="00732B41" w:rsidRPr="00FC5A3E">
        <w:rPr>
          <w:rStyle w:val="Strong"/>
          <w:b w:val="0"/>
          <w:sz w:val="20"/>
          <w:szCs w:val="20"/>
        </w:rPr>
        <w:t xml:space="preserve"> i ostale</w:t>
      </w:r>
      <w:r w:rsidR="00206632" w:rsidRPr="00FC5A3E">
        <w:rPr>
          <w:rStyle w:val="Strong"/>
          <w:b w:val="0"/>
          <w:sz w:val="20"/>
          <w:szCs w:val="20"/>
        </w:rPr>
        <w:t xml:space="preserve"> karcinome</w:t>
      </w:r>
      <w:r w:rsidR="00DF726A" w:rsidRPr="00FC5A3E">
        <w:rPr>
          <w:rStyle w:val="Strong"/>
          <w:b w:val="0"/>
          <w:sz w:val="20"/>
          <w:szCs w:val="20"/>
        </w:rPr>
        <w:t xml:space="preserve"> </w:t>
      </w:r>
      <w:r w:rsidR="00DF726A" w:rsidRPr="00FC5A3E">
        <w:rPr>
          <w:rStyle w:val="Strong"/>
          <w:b w:val="0"/>
          <w:sz w:val="20"/>
          <w:szCs w:val="20"/>
        </w:rPr>
        <w:fldChar w:fldCharType="begin" w:fldLock="1"/>
      </w:r>
      <w:r w:rsidR="00F41B60">
        <w:rPr>
          <w:rStyle w:val="Strong"/>
          <w:b w:val="0"/>
          <w:sz w:val="20"/>
          <w:szCs w:val="20"/>
        </w:rPr>
        <w:instrText>ADDIN CSL_CITATION {"citationItems":[{"id":"ITEM-1","itemData":{"abstract":"The WHO histological tumour type must be recorded. CS3.02a The histological type of the tumour should be recorded based on the current WHO classification 23 (refer to Appendix 4). These types are: • Tubular adenocarcinoma • Papillary adenocarcinoma • Mucinous adenocarcinoma (requires more than 50% of the tumour to be mucinous) • Poorly cohesive carcinomas, including signet-ring cell carcinoma • Mixed carcinoma • Other (specify)","author":[{"dropping-particle":"","family":"Who","given":"The","non-dropping-particle":"","parse-names":false,"suffix":""},{"dropping-particle":"","family":"Intraepithelial","given":"Adenoma","non-dropping-particle":"","parse-names":false,"suffix":""},{"dropping-particle":"","family":"Papillary","given":"Carcinoma Adenocarcinoma","non-dropping-particle":"","parse-names":false,"suffix":""},{"dropping-particle":"","family":"Small","given":"N E C","non-dropping-particle":"","parse-names":false,"suffix":""},{"dropping-particle":"","family":"Mixed","given":"N E C","non-dropping-particle":"","parse-names":false,"suffix":""},{"dropping-particle":"","family":"Net","given":"N E T Gastrin-producing","non-dropping-particle":"","parse-names":false,"suffix":""},{"dropping-particle":"","family":"Plexiform","given":"Leiomyoma","non-dropping-particle":"","parse-names":false,"suffix":""}],"id":"ITEM-1","issued":{"date-parts":[["0"]]},"title":"Appendix 4: WHO Classification a of Gastric Tumours 4 th edition","type":"article-journal","volume":"23"},"uris":["http://www.mendeley.com/documents/?uuid=35c20866-186c-429f-84ab-2d25afdbe882"]}],"mendeley":{"formattedCitation":"(Who &lt;i&gt;et al.&lt;/i&gt;, no date)","manualFormatting":"(Who i sur., no date)","plainTextFormattedCitation":"(Who et al., no date)","previouslyFormattedCitation":"(Who &lt;i&gt;et al.&lt;/i&gt;, no date)"},"properties":{"noteIndex":0},"schema":"https://github.com/citation-style-language/schema/raw/master/csl-citation.json"}</w:instrText>
      </w:r>
      <w:r w:rsidR="00DF726A" w:rsidRPr="00FC5A3E">
        <w:rPr>
          <w:rStyle w:val="Strong"/>
          <w:b w:val="0"/>
          <w:sz w:val="20"/>
          <w:szCs w:val="20"/>
        </w:rPr>
        <w:fldChar w:fldCharType="separate"/>
      </w:r>
      <w:r w:rsidR="00DF726A" w:rsidRPr="00FC5A3E">
        <w:rPr>
          <w:rStyle w:val="Strong"/>
          <w:b w:val="0"/>
          <w:noProof/>
          <w:sz w:val="20"/>
          <w:szCs w:val="20"/>
        </w:rPr>
        <w:t xml:space="preserve">(Who </w:t>
      </w:r>
      <w:r w:rsidR="003F4A87">
        <w:rPr>
          <w:rStyle w:val="Strong"/>
          <w:b w:val="0"/>
          <w:i/>
          <w:noProof/>
          <w:sz w:val="20"/>
          <w:szCs w:val="20"/>
        </w:rPr>
        <w:t>i sur.,</w:t>
      </w:r>
      <w:r w:rsidR="00DF726A" w:rsidRPr="00FC5A3E">
        <w:rPr>
          <w:rStyle w:val="Strong"/>
          <w:b w:val="0"/>
          <w:noProof/>
          <w:sz w:val="20"/>
          <w:szCs w:val="20"/>
        </w:rPr>
        <w:t xml:space="preserve"> no date)</w:t>
      </w:r>
      <w:r w:rsidR="00DF726A" w:rsidRPr="00FC5A3E">
        <w:rPr>
          <w:rStyle w:val="Strong"/>
          <w:b w:val="0"/>
          <w:sz w:val="20"/>
          <w:szCs w:val="20"/>
        </w:rPr>
        <w:fldChar w:fldCharType="end"/>
      </w:r>
      <w:r w:rsidR="00206632" w:rsidRPr="00FC5A3E">
        <w:rPr>
          <w:rStyle w:val="Strong"/>
          <w:b w:val="0"/>
          <w:sz w:val="20"/>
          <w:szCs w:val="20"/>
        </w:rPr>
        <w:t xml:space="preserve">. </w:t>
      </w:r>
      <w:r w:rsidR="00BD6497" w:rsidRPr="00FC5A3E">
        <w:rPr>
          <w:rStyle w:val="Strong"/>
          <w:b w:val="0"/>
          <w:sz w:val="20"/>
          <w:szCs w:val="20"/>
        </w:rPr>
        <w:t xml:space="preserve">Čimbenici rizika za karcinom želuca su mnogobrojni. </w:t>
      </w:r>
      <w:r w:rsidR="00C92C5B" w:rsidRPr="00FC5A3E">
        <w:rPr>
          <w:rStyle w:val="Strong"/>
          <w:b w:val="0"/>
          <w:sz w:val="20"/>
          <w:szCs w:val="20"/>
        </w:rPr>
        <w:t xml:space="preserve">Genetska predispozicija povezuje se s 1 do 3% karcinoma želuca </w:t>
      </w:r>
      <w:r w:rsidR="00C92C5B" w:rsidRPr="00FC5A3E">
        <w:rPr>
          <w:rStyle w:val="Strong"/>
          <w:b w:val="0"/>
          <w:sz w:val="20"/>
          <w:szCs w:val="20"/>
        </w:rPr>
        <w:fldChar w:fldCharType="begin" w:fldLock="1"/>
      </w:r>
      <w:r w:rsidR="00D45472" w:rsidRPr="00FC5A3E">
        <w:rPr>
          <w:rStyle w:val="Strong"/>
          <w:b w:val="0"/>
          <w:sz w:val="20"/>
          <w:szCs w:val="20"/>
        </w:rPr>
        <w:instrText>ADDIN CSL_CITATION {"citationItems":[{"id":"ITEM-1","itemData":{"DOI":"10.1016/j.scienta.2014.02.005","ISBN":"9781912259465","ISSN":"03044238","abstract":"A recent Foresight project report analyzes technological and policy priorities for meeting future challenges of infectious diseases affecting humans, plants, and animals. Infectious diseases account for a quarter of all human mortality and a similar fraction of morbidity (1). Infectious diseases of crops and livestock cost the global economy uncounted billions of euros every year. On top of this, sudden epidemics of infectious dis-eases can deliver humanitarian and economic shocks on a scale difficult to absorb. Ac-cording to the World Bank, the 2003 severe acute respiratory syndrome (SARS) epi-demic, which killed fewer then 1000 people, was responsible for an estimated 2% fall in gross domestic product (GDP) across East Asia, and an influenza pandemic could kill millions of people and cost € 700 billion (U.S. $900 billion) globally in a single year (2). In recent years, there have been numerous out-breaks of livestock and crop diseases costing individual countries billions of euros, for example, foot-and-mouth disease (FMD) in Taiwan and the United Kingdom; bovine spongiform encephalopathy (BSE) in the United Kingdom; classical swine fever (CSF) in the Netherlands; soybean rust in Brazil; Southern corn leaf blight in the United States; and, most recently, avian influenza in Egypt. The United Nations Millennium Develop-ment Goals, as well as having explicit targets for reducing the burden of human diseases (particularly HIV/AIDS, tuberculosis, and malaria), also have targets for reducing poverty and hunger, but these are compro-mised by crop and livestock diseases. In most developing regions, where the impacts of infectious disease are greatest, there is now little hope of meeting any of the Millennium Development Goals by 2015 (3). Governments and international agencies need a vision of how threats such as infectious diseases are likely to evolve in the future so that they can identify effective science and technology strategies to help meet the chal- lenge. Foresight programs, largely originating in Japan and the USA, were put in place pre-cisely to do this. The U.K.’s Foresight program established a series of cross-disciplinary proj-ects to study selected topics in depth, incorpo-rating two key principles (4). First, the work has to be based on peer-reviewed science pre-sented in a way that is accessible to nonscien-tists, and second, decision-makers and gov-ernment must be engaged from the outset in setting the direction and broad approach of each p…","author":[{"dropping-particle":"","family":"World Cancer Research Fund/American Institute for Cancer Research","given":"","non-dropping-particle":"","parse-names":false,"suffix":""}],"container-title":"American Institute for Cancer Research","id":"ITEM-1","issued":{"date-parts":[["2018"]]},"number-of-pages":"1-53","title":"Diet, Nutrition, Physical Activity and Cancer: a Global Perspective","type":"book","volume":"3"},"uris":["http://www.mendeley.com/documents/?uuid=b7f9fe82-33ad-47a5-ac26-62a925769991"]}],"mendeley":{"formattedCitation":"(World Cancer Research Fund/American Institute for Cancer Research, 2018)","plainTextFormattedCitation":"(World Cancer Research Fund/American Institute for Cancer Research, 2018)","previouslyFormattedCitation":"(World Cancer Research Fund/American Institute for Cancer Research, 2018)"},"properties":{"noteIndex":0},"schema":"https://github.com/citation-style-language/schema/raw/master/csl-citation.json"}</w:instrText>
      </w:r>
      <w:r w:rsidR="00C92C5B" w:rsidRPr="00FC5A3E">
        <w:rPr>
          <w:rStyle w:val="Strong"/>
          <w:b w:val="0"/>
          <w:sz w:val="20"/>
          <w:szCs w:val="20"/>
        </w:rPr>
        <w:fldChar w:fldCharType="separate"/>
      </w:r>
      <w:r w:rsidR="00C92C5B" w:rsidRPr="00FC5A3E">
        <w:rPr>
          <w:rStyle w:val="Strong"/>
          <w:b w:val="0"/>
          <w:noProof/>
          <w:sz w:val="20"/>
          <w:szCs w:val="20"/>
        </w:rPr>
        <w:t>(World Cancer Research Fund/American Institute for Cancer Research, 2018)</w:t>
      </w:r>
      <w:r w:rsidR="00C92C5B" w:rsidRPr="00FC5A3E">
        <w:rPr>
          <w:rStyle w:val="Strong"/>
          <w:b w:val="0"/>
          <w:sz w:val="20"/>
          <w:szCs w:val="20"/>
        </w:rPr>
        <w:fldChar w:fldCharType="end"/>
      </w:r>
      <w:r w:rsidR="00C92C5B" w:rsidRPr="00FC5A3E">
        <w:rPr>
          <w:rStyle w:val="Strong"/>
          <w:b w:val="0"/>
          <w:sz w:val="20"/>
          <w:szCs w:val="20"/>
        </w:rPr>
        <w:t xml:space="preserve">. Nasljedni difuzni karcinom želuca (HDGC, engl. hereditary diffuse gastric cancer) nasljeđuje se autosomno dominantno, a posljedica je gubitka jedne kopije </w:t>
      </w:r>
      <w:r w:rsidR="00C92C5B" w:rsidRPr="00FC5A3E">
        <w:rPr>
          <w:rStyle w:val="Strong"/>
          <w:b w:val="0"/>
          <w:i/>
          <w:sz w:val="20"/>
          <w:szCs w:val="20"/>
        </w:rPr>
        <w:t xml:space="preserve">CDH1 </w:t>
      </w:r>
      <w:r w:rsidR="00C92C5B" w:rsidRPr="00FC5A3E">
        <w:rPr>
          <w:rStyle w:val="Strong"/>
          <w:b w:val="0"/>
          <w:sz w:val="20"/>
          <w:szCs w:val="20"/>
        </w:rPr>
        <w:t xml:space="preserve">gena. </w:t>
      </w:r>
      <w:r w:rsidR="00D45472" w:rsidRPr="00FC5A3E">
        <w:rPr>
          <w:rStyle w:val="Strong"/>
          <w:b w:val="0"/>
          <w:sz w:val="20"/>
          <w:szCs w:val="20"/>
        </w:rPr>
        <w:t xml:space="preserve">Mutacije </w:t>
      </w:r>
      <w:r w:rsidR="00D45472" w:rsidRPr="00FC5A3E">
        <w:rPr>
          <w:rStyle w:val="Strong"/>
          <w:b w:val="0"/>
          <w:i/>
          <w:sz w:val="20"/>
          <w:szCs w:val="20"/>
        </w:rPr>
        <w:t xml:space="preserve">APC </w:t>
      </w:r>
      <w:r w:rsidR="00D45472" w:rsidRPr="00FC5A3E">
        <w:rPr>
          <w:rStyle w:val="Strong"/>
          <w:b w:val="0"/>
          <w:sz w:val="20"/>
          <w:szCs w:val="20"/>
        </w:rPr>
        <w:t xml:space="preserve">gena te polimorfizmi gena za IL-17 i IL-10 također povećavaju rizik za razvoj karcinoma želuca </w:t>
      </w:r>
      <w:r w:rsidR="00D45472" w:rsidRPr="00FC5A3E">
        <w:rPr>
          <w:rStyle w:val="Strong"/>
          <w:b w:val="0"/>
          <w:sz w:val="20"/>
          <w:szCs w:val="20"/>
        </w:rPr>
        <w:fldChar w:fldCharType="begin" w:fldLock="1"/>
      </w:r>
      <w:r w:rsidR="00AE18A0" w:rsidRPr="00FC5A3E">
        <w:rPr>
          <w:rStyle w:val="Strong"/>
          <w:b w:val="0"/>
          <w:sz w:val="20"/>
          <w:szCs w:val="20"/>
        </w:rPr>
        <w:instrText>ADDIN CSL_CITATION {"citationItems":[{"id":"ITEM-1","itemData":{"DOI":"10.1016/j.jcmgh.2016.12.003","ISSN":"2352345X","abstract":"Gastric cancer is a common disease worldwide, typically associated with acquired chronic inflammation in the stomach, related in most instances to infection by Helicobacter pylori. A small percentage of cases occurs in familial clusters, and some of these can be linked to specific germline mutations. This article reviews the historical background to the current understanding of familial gastric cancer, focuses on the entity of hereditary diffuse gastric cancer, and also reviews the risks for gastric cancer related to a number of other familial genetic diseases.","author":[{"dropping-particle":"","family":"Boland","given":"C. Richard","non-dropping-particle":"","parse-names":false,"suffix":""},{"dropping-particle":"","family":"Yurgelun","given":"Matthew B.","non-dropping-particle":"","parse-names":false,"suffix":""}],"container-title":"Cmgh","id":"ITEM-1","issue":"2","issued":{"date-parts":[["2017"]]},"page":"192-200","publisher":"Elsevier Inc","title":"Historical Perspective on Familial Gastric Cancer","type":"article-journal","volume":"3"},"uris":["http://www.mendeley.com/documents/?uuid=e51f2b3c-7996-4ebc-b724-e7c41912e14c"]}],"mendeley":{"formattedCitation":"(Boland and Yurgelun, 2017)","manualFormatting":"(Boli i Yurgelun, 2017)","plainTextFormattedCitation":"(Boland and Yurgelun, 2017)","previouslyFormattedCitation":"(Boland and Yurgelun, 2017)"},"properties":{"noteIndex":0},"schema":"https://github.com/citation-style-language/schema/raw/master/csl-citation.json"}</w:instrText>
      </w:r>
      <w:r w:rsidR="00D45472" w:rsidRPr="00FC5A3E">
        <w:rPr>
          <w:rStyle w:val="Strong"/>
          <w:b w:val="0"/>
          <w:sz w:val="20"/>
          <w:szCs w:val="20"/>
        </w:rPr>
        <w:fldChar w:fldCharType="separate"/>
      </w:r>
      <w:r w:rsidR="00AE18A0" w:rsidRPr="00FC5A3E">
        <w:rPr>
          <w:rStyle w:val="Strong"/>
          <w:b w:val="0"/>
          <w:noProof/>
          <w:sz w:val="20"/>
          <w:szCs w:val="20"/>
        </w:rPr>
        <w:t>(Boli i Yurgelun, 2017)</w:t>
      </w:r>
      <w:r w:rsidR="00D45472" w:rsidRPr="00FC5A3E">
        <w:rPr>
          <w:rStyle w:val="Strong"/>
          <w:b w:val="0"/>
          <w:sz w:val="20"/>
          <w:szCs w:val="20"/>
        </w:rPr>
        <w:fldChar w:fldCharType="end"/>
      </w:r>
      <w:r w:rsidR="00D45472" w:rsidRPr="00FC5A3E">
        <w:rPr>
          <w:rStyle w:val="Strong"/>
          <w:b w:val="0"/>
          <w:sz w:val="20"/>
          <w:szCs w:val="20"/>
        </w:rPr>
        <w:t>. Najveći broj karcinoma želuca povezan je s infekcijom bakterijom</w:t>
      </w:r>
      <w:r w:rsidR="00AE18A0" w:rsidRPr="00FC5A3E">
        <w:rPr>
          <w:rStyle w:val="Strong"/>
          <w:b w:val="0"/>
          <w:sz w:val="20"/>
          <w:szCs w:val="20"/>
        </w:rPr>
        <w:t xml:space="preserve"> </w:t>
      </w:r>
      <w:r w:rsidR="00AE18A0" w:rsidRPr="00FC5A3E">
        <w:rPr>
          <w:rStyle w:val="Strong"/>
          <w:b w:val="0"/>
          <w:i/>
          <w:sz w:val="20"/>
          <w:szCs w:val="20"/>
        </w:rPr>
        <w:t xml:space="preserve">Helicobacter pylori </w:t>
      </w:r>
      <w:r w:rsidR="00AE18A0" w:rsidRPr="00FC5A3E">
        <w:rPr>
          <w:rStyle w:val="Strong"/>
          <w:b w:val="0"/>
          <w:i/>
          <w:sz w:val="20"/>
          <w:szCs w:val="20"/>
        </w:rPr>
        <w:fldChar w:fldCharType="begin" w:fldLock="1"/>
      </w:r>
      <w:r w:rsidR="00C96EF9" w:rsidRPr="00FC5A3E">
        <w:rPr>
          <w:rStyle w:val="Strong"/>
          <w:b w:val="0"/>
          <w:i/>
          <w:sz w:val="20"/>
          <w:szCs w:val="20"/>
        </w:rPr>
        <w:instrText>ADDIN CSL_CITATION {"citationItems":[{"id":"ITEM-1","itemData":{"author":[{"dropping-particle":"","family":"Ernst","given":"Peter B","non-dropping-particle":"","parse-names":false,"suffix":""},{"dropping-particle":"","family":"Gold","given":"Benjamin D","non-dropping-particle":"","parse-names":false,"suffix":""}],"id":"ITEM-1","issued":{"date-parts":[["2000"]]},"title":"T HE D ISEASE S PECTRUM OF H ELICOBACTER P YLORI : The Immunopathogenesis of Gastroduodenal Ulcer and Gastric Cancer CONTENTS","type":"article-journal"},"uris":["http://www.mendeley.com/documents/?uuid=aefc5a57-e0b8-4ad8-ac3f-f6cb940e615b"]}],"mendeley":{"formattedCitation":"(Ernst and Gold, 2000)","manualFormatting":"(Ernst i Gold, 2000)","plainTextFormattedCitation":"(Ernst and Gold, 2000)","previouslyFormattedCitation":"(Ernst and Gold, 2000)"},"properties":{"noteIndex":0},"schema":"https://github.com/citation-style-language/schema/raw/master/csl-citation.json"}</w:instrText>
      </w:r>
      <w:r w:rsidR="00AE18A0" w:rsidRPr="00FC5A3E">
        <w:rPr>
          <w:rStyle w:val="Strong"/>
          <w:b w:val="0"/>
          <w:i/>
          <w:sz w:val="20"/>
          <w:szCs w:val="20"/>
        </w:rPr>
        <w:fldChar w:fldCharType="separate"/>
      </w:r>
      <w:r w:rsidR="00AE18A0" w:rsidRPr="00FC5A3E">
        <w:rPr>
          <w:rStyle w:val="Strong"/>
          <w:b w:val="0"/>
          <w:noProof/>
          <w:sz w:val="20"/>
          <w:szCs w:val="20"/>
        </w:rPr>
        <w:t>(Ernst i Gold, 2000)</w:t>
      </w:r>
      <w:r w:rsidR="00AE18A0" w:rsidRPr="00FC5A3E">
        <w:rPr>
          <w:rStyle w:val="Strong"/>
          <w:b w:val="0"/>
          <w:i/>
          <w:sz w:val="20"/>
          <w:szCs w:val="20"/>
        </w:rPr>
        <w:fldChar w:fldCharType="end"/>
      </w:r>
      <w:r w:rsidR="00AE18A0" w:rsidRPr="00FC5A3E">
        <w:rPr>
          <w:rStyle w:val="Strong"/>
          <w:b w:val="0"/>
          <w:sz w:val="20"/>
          <w:szCs w:val="20"/>
        </w:rPr>
        <w:t xml:space="preserve">, za čije su otkriće </w:t>
      </w:r>
      <w:r w:rsidR="00D45472" w:rsidRPr="00FC5A3E">
        <w:rPr>
          <w:rStyle w:val="Strong"/>
          <w:b w:val="0"/>
          <w:sz w:val="20"/>
          <w:szCs w:val="20"/>
        </w:rPr>
        <w:t xml:space="preserve"> </w:t>
      </w:r>
      <w:r w:rsidR="00AE18A0" w:rsidRPr="00FC5A3E">
        <w:rPr>
          <w:rStyle w:val="Strong"/>
          <w:b w:val="0"/>
          <w:sz w:val="20"/>
          <w:szCs w:val="20"/>
        </w:rPr>
        <w:t xml:space="preserve">Barry Marshall i Robin Warren dobili Nobelovu nagradu za fiziologiju ili medicinu 2005. godine. </w:t>
      </w:r>
      <w:r w:rsidR="00C96EF9" w:rsidRPr="00FC5A3E">
        <w:rPr>
          <w:rStyle w:val="Strong"/>
          <w:b w:val="0"/>
          <w:sz w:val="20"/>
          <w:szCs w:val="20"/>
        </w:rPr>
        <w:t xml:space="preserve">Rezultati metaanaliza pokazali su da su pušenje </w:t>
      </w:r>
      <w:r w:rsidR="00C96EF9" w:rsidRPr="00FC5A3E">
        <w:rPr>
          <w:rStyle w:val="Strong"/>
          <w:b w:val="0"/>
          <w:sz w:val="20"/>
          <w:szCs w:val="20"/>
        </w:rPr>
        <w:fldChar w:fldCharType="begin" w:fldLock="1"/>
      </w:r>
      <w:r w:rsidR="00C96EF9" w:rsidRPr="00FC5A3E">
        <w:rPr>
          <w:rStyle w:val="Strong"/>
          <w:b w:val="0"/>
          <w:sz w:val="20"/>
          <w:szCs w:val="20"/>
        </w:rPr>
        <w:instrText>ADDIN CSL_CITATION {"citationItems":[{"id":"ITEM-1","itemData":{"DOI":"10.1007/s10552-008-9132-y","ISSN":"09575243","abstract":"OBJECTIVE: We conducted a systematic review of studies addressing the relation between cigarette smoking and gastric cancer to estimate the magnitude of the association for different levels of exposure and cancer locations. METHODS: Published cohort, case-cohort, and nested case-control studies were identified through PubMed, Scopus, and Web of Science searches, from inception to July 2007. Relative risk (RR) estimates referring to the comparison of two categories of exposure (e.g., current smokers vs. never smokers) were combined using a random effects model. Generalized least squares regression was used for trend estimation. Heterogeneity was quantified using the I (2) statistic. RESULTS: Forty-two articles were considered for the systematic review. Comparing current smokers with never smokers: the summary RR estimates were 1.62 in males (95% CI: 1.50-1.75; I (2) = 46.0%; 18 studies) and 1.20 in females (95% CI: 1.01-1.43; I (2) = 49.8%; nine studies); the RR increased from 1.3 for the lowest consumptions to 1.7 for the smoking of approximately 30 cigarettes per day in the trend estimation analysis; smoking was significantly associated with both cardia (RR = 1.87; 95% CI: 1.31-2.67; I (2) = 73.2%; nine studies) and non-cardia (RR = 1.60; 95% CI: 1.41-1.80; I (2) = 18.9%; nine studies) cancers. CONCLUSION: Our study provides solid evidence to classify smoking as the most important behavioral risk factor for gastric cancer.","author":[{"dropping-particle":"","family":"Ladeiras-Lopes","given":"Ricardo","non-dropping-particle":"","parse-names":false,"suffix":""},{"dropping-particle":"","family":"Pereira","given":"Alexandre Kirchhofer","non-dropping-particle":"","parse-names":false,"suffix":""},{"dropping-particle":"","family":"Nogueira","given":"Amanda","non-dropping-particle":"","parse-names":false,"suffix":""},{"dropping-particle":"","family":"Pinheiro-Torres","given":"Tiago","non-dropping-particle":"","parse-names":false,"suffix":""},{"dropping-particle":"","family":"Pinto","given":"Isabel","non-dropping-particle":"","parse-names":false,"suffix":""},{"dropping-particle":"","family":"Santos-Pereira","given":"Ricardo","non-dropping-particle":"","parse-names":false,"suffix":""},{"dropping-particle":"","family":"Lunet","given":"Nuno","non-dropping-particle":"","parse-names":false,"suffix":""}],"container-title":"Cancer Causes and Control","id":"ITEM-1","issue":"7","issued":{"date-parts":[["2008"]]},"page":"689-701","title":"Smoking and gastric cancer: Systematic review and meta-analysis of cohort studies","type":"article-journal","volume":"19"},"uris":["http://www.mendeley.com/documents/?uuid=b029c3b6-8d06-483b-95d7-af150a212441"]}],"mendeley":{"formattedCitation":"(Ladeiras-Lopes &lt;i&gt;et al.&lt;/i&gt;, 2008)","manualFormatting":"(Ladeiras-Lopes i sur., 2008)","plainTextFormattedCitation":"(Ladeiras-Lopes et al., 2008)","previouslyFormattedCitation":"(Ladeiras-Lopes &lt;i&gt;et al.&lt;/i&gt;, 2008)"},"properties":{"noteIndex":0},"schema":"https://github.com/citation-style-language/schema/raw/master/csl-citation.json"}</w:instrText>
      </w:r>
      <w:r w:rsidR="00C96EF9" w:rsidRPr="00FC5A3E">
        <w:rPr>
          <w:rStyle w:val="Strong"/>
          <w:b w:val="0"/>
          <w:sz w:val="20"/>
          <w:szCs w:val="20"/>
        </w:rPr>
        <w:fldChar w:fldCharType="separate"/>
      </w:r>
      <w:r w:rsidR="00C96EF9" w:rsidRPr="00FC5A3E">
        <w:rPr>
          <w:rStyle w:val="Strong"/>
          <w:b w:val="0"/>
          <w:noProof/>
          <w:sz w:val="20"/>
          <w:szCs w:val="20"/>
        </w:rPr>
        <w:t xml:space="preserve">(Ladeiras-Lopes </w:t>
      </w:r>
      <w:r w:rsidR="00C96EF9" w:rsidRPr="00FC5A3E">
        <w:rPr>
          <w:rStyle w:val="Strong"/>
          <w:b w:val="0"/>
          <w:i/>
          <w:noProof/>
          <w:sz w:val="20"/>
          <w:szCs w:val="20"/>
        </w:rPr>
        <w:t>i sur.,</w:t>
      </w:r>
      <w:r w:rsidR="00C96EF9" w:rsidRPr="00FC5A3E">
        <w:rPr>
          <w:rStyle w:val="Strong"/>
          <w:b w:val="0"/>
          <w:noProof/>
          <w:sz w:val="20"/>
          <w:szCs w:val="20"/>
        </w:rPr>
        <w:t xml:space="preserve"> 2008)</w:t>
      </w:r>
      <w:r w:rsidR="00C96EF9" w:rsidRPr="00FC5A3E">
        <w:rPr>
          <w:rStyle w:val="Strong"/>
          <w:b w:val="0"/>
          <w:sz w:val="20"/>
          <w:szCs w:val="20"/>
        </w:rPr>
        <w:fldChar w:fldCharType="end"/>
      </w:r>
      <w:r w:rsidR="00C96EF9" w:rsidRPr="00FC5A3E">
        <w:rPr>
          <w:rStyle w:val="Strong"/>
          <w:b w:val="0"/>
          <w:sz w:val="20"/>
          <w:szCs w:val="20"/>
        </w:rPr>
        <w:t xml:space="preserve"> i konzumacija alkohola </w:t>
      </w:r>
      <w:r w:rsidR="00C96EF9" w:rsidRPr="00FC5A3E">
        <w:rPr>
          <w:rStyle w:val="Strong"/>
          <w:b w:val="0"/>
          <w:sz w:val="20"/>
          <w:szCs w:val="20"/>
        </w:rPr>
        <w:fldChar w:fldCharType="begin" w:fldLock="1"/>
      </w:r>
      <w:r w:rsidR="00FE0ADE" w:rsidRPr="00FC5A3E">
        <w:rPr>
          <w:rStyle w:val="Strong"/>
          <w:b w:val="0"/>
          <w:sz w:val="20"/>
          <w:szCs w:val="20"/>
        </w:rPr>
        <w:instrText>ADDIN CSL_CITATION {"citationItems":[{"id":"ITEM-1","itemData":{"DOI":"10.1093/annonc/mdr135","ISSN":"09237534","abstract":"Background: Whether an association between alcohol drinking and gastric cancer risk exists is an open question. In order to provide a definite quantification of the association between alcohol drinking and gastric cancer risk, we conducted a meta-analysis of available data.Patients and methods: We carried out a PubMed search of articles published up to June 2010 and identified 44 case–control and 15 cohort studies, including a total of 34 557 gastric cancer cases. We derived meta-analytic estimates using random-effects models, taking into account correlation between estimates. We carried out a dose–risk analysis using nonlinear random-effects meta-regression models.Results: Compared with nondrinkers, the pooled relative risk (RR) was 1.07 [95% confidence interval (CI) 1.01–1.13] for alcohol drinkers and 1.20 (95% CI 1.01–1.44) for heavy alcohol drinkers (≥4 drinks per day). The pooled estimates were apparently higher for gastric noncardia (RR for heavy drinkers = 1.17, 95% CI 0.78–1.75) than for gastric cardia (RR = 0.99, 95% CI 0.67–1.47) adenocarcinoma. The dose–risk model estimated a RR of 0.95 (95% CI 0.91–0.99) for 10 g/day and 1.14 (95% CI 1.08–1.21) for 50 g/day.Conclusions: This meta-analysis provides definite evidence of a lack of association between moderate alcohol drinking and gastric cancer risk. There was, however, a positive association with heavy alcohol drinking.","author":[{"dropping-particle":"","family":"Tramacere","given":"I.","non-dropping-particle":"","parse-names":false,"suffix":""},{"dropping-particle":"","family":"Negri","given":"E.","non-dropping-particle":"","parse-names":false,"suffix":""},{"dropping-particle":"","family":"Pelucchi","given":"C.","non-dropping-particle":"","parse-names":false,"suffix":""},{"dropping-particle":"","family":"Bagnardi","given":"V.","non-dropping-particle":"","parse-names":false,"suffix":""},{"dropping-particle":"","family":"Rota","given":"M.","non-dropping-particle":"","parse-names":false,"suffix":""},{"dropping-particle":"","family":"Scotti","given":"L.","non-dropping-particle":"","parse-names":false,"suffix":""},{"dropping-particle":"","family":"Islami","given":"F.","non-dropping-particle":"","parse-names":false,"suffix":""},{"dropping-particle":"","family":"Corrao","given":"G.","non-dropping-particle":"","parse-names":false,"suffix":""},{"dropping-particle":"","family":"vecchia","given":"C.","non-dropping-particle":"La","parse-names":false,"suffix":""},{"dropping-particle":"","family":"Boffetta","given":"P.","non-dropping-particle":"","parse-names":false,"suffix":""}],"container-title":"Annals of Oncology","id":"ITEM-1","issue":"1","issued":{"date-parts":[["2012"]]},"page":"28-36","title":"A meta-analysis on alcohol drinking and gastric cancer risk","type":"article-journal","volume":"23"},"uris":["http://www.mendeley.com/documents/?uuid=22af1b5c-c42e-4275-bf2a-2909c0a29066"]}],"mendeley":{"formattedCitation":"(Tramacere &lt;i&gt;et al.&lt;/i&gt;, 2012)","manualFormatting":"(Tramacere i sur., 2012)","plainTextFormattedCitation":"(Tramacere et al., 2012)","previouslyFormattedCitation":"(Tramacere &lt;i&gt;et al.&lt;/i&gt;, 2012)"},"properties":{"noteIndex":0},"schema":"https://github.com/citation-style-language/schema/raw/master/csl-citation.json"}</w:instrText>
      </w:r>
      <w:r w:rsidR="00C96EF9" w:rsidRPr="00FC5A3E">
        <w:rPr>
          <w:rStyle w:val="Strong"/>
          <w:b w:val="0"/>
          <w:sz w:val="20"/>
          <w:szCs w:val="20"/>
        </w:rPr>
        <w:fldChar w:fldCharType="separate"/>
      </w:r>
      <w:r w:rsidR="00C96EF9" w:rsidRPr="00FC5A3E">
        <w:rPr>
          <w:rStyle w:val="Strong"/>
          <w:b w:val="0"/>
          <w:noProof/>
          <w:sz w:val="20"/>
          <w:szCs w:val="20"/>
        </w:rPr>
        <w:t xml:space="preserve">(Tramacere </w:t>
      </w:r>
      <w:r w:rsidR="00C96EF9" w:rsidRPr="00FC5A3E">
        <w:rPr>
          <w:rStyle w:val="Strong"/>
          <w:b w:val="0"/>
          <w:i/>
          <w:noProof/>
          <w:sz w:val="20"/>
          <w:szCs w:val="20"/>
        </w:rPr>
        <w:t>i sur.,</w:t>
      </w:r>
      <w:r w:rsidR="00C96EF9" w:rsidRPr="00FC5A3E">
        <w:rPr>
          <w:rStyle w:val="Strong"/>
          <w:b w:val="0"/>
          <w:noProof/>
          <w:sz w:val="20"/>
          <w:szCs w:val="20"/>
        </w:rPr>
        <w:t xml:space="preserve"> 2012)</w:t>
      </w:r>
      <w:r w:rsidR="00C96EF9" w:rsidRPr="00FC5A3E">
        <w:rPr>
          <w:rStyle w:val="Strong"/>
          <w:b w:val="0"/>
          <w:sz w:val="20"/>
          <w:szCs w:val="20"/>
        </w:rPr>
        <w:fldChar w:fldCharType="end"/>
      </w:r>
      <w:r w:rsidR="00C96EF9" w:rsidRPr="00FC5A3E">
        <w:rPr>
          <w:rStyle w:val="Strong"/>
          <w:b w:val="0"/>
          <w:sz w:val="20"/>
          <w:szCs w:val="20"/>
        </w:rPr>
        <w:t xml:space="preserve"> važni čimbenici rizika za karcinom želuca. Prehrana bogata solju i </w:t>
      </w:r>
      <w:r w:rsidR="00FE0ADE" w:rsidRPr="00FC5A3E">
        <w:rPr>
          <w:rStyle w:val="Strong"/>
          <w:b w:val="0"/>
          <w:sz w:val="20"/>
          <w:szCs w:val="20"/>
        </w:rPr>
        <w:t>N-nitrozo</w:t>
      </w:r>
      <w:r w:rsidR="00CD48FB">
        <w:rPr>
          <w:rStyle w:val="Strong"/>
          <w:b w:val="0"/>
          <w:sz w:val="20"/>
          <w:szCs w:val="20"/>
        </w:rPr>
        <w:t xml:space="preserve"> </w:t>
      </w:r>
      <w:r w:rsidR="00FE0ADE" w:rsidRPr="00FC5A3E">
        <w:rPr>
          <w:rStyle w:val="Strong"/>
          <w:b w:val="0"/>
          <w:sz w:val="20"/>
          <w:szCs w:val="20"/>
        </w:rPr>
        <w:t xml:space="preserve">spojevima u konzerviranom mesu povećava rizik za razvoj karcinoma želuca, dok prehrana bazirana na voću i povrću taj rizik smanjuje </w:t>
      </w:r>
      <w:r w:rsidR="00FE0ADE" w:rsidRPr="00FC5A3E">
        <w:rPr>
          <w:rStyle w:val="Strong"/>
          <w:b w:val="0"/>
          <w:sz w:val="20"/>
          <w:szCs w:val="20"/>
        </w:rPr>
        <w:fldChar w:fldCharType="begin" w:fldLock="1"/>
      </w:r>
      <w:r w:rsidR="00A822FF" w:rsidRPr="00FC5A3E">
        <w:rPr>
          <w:rStyle w:val="Strong"/>
          <w:b w:val="0"/>
          <w:sz w:val="20"/>
          <w:szCs w:val="20"/>
        </w:rPr>
        <w:instrText>ADDIN CSL_CITATION {"citationItems":[{"id":"ITEM-1","itemData":{"DOI":"10.1007/s10120-007-0420-0","ISSN":"14363291","abstract":"There are geographic and ethnic differences in the incidence of gastric cancer around the world as well as with its trends for each population over time. The incidence patterns observed among immigrants change according to where they live. All of these factors serve to indicate the close association of gastric cancer with modifiable factors such as diet. This review presents epidemiological evidence on the association between dietary factors and gastric cancer based on previous systematic reviews and subsequent updates. Infection with Helicobacter pylori is a strong and established risk factor of gastric cancer but is not a sufficient cause for its development. Substantial evidence from ecological, case-control, and cohort studies strongly suggests that the risk may be increased with a high intake of various traditional salt-preserved foods and salt per se and decreased with a high intake of fruit and vegetables, particularly fruit. However, it remains unclear which constituents in fruit and vegetables play a significant role in gastric cancer prevention. Among them, vitamin C is a plausible candidate supported by a relatively large body of epidemiological evidence. Consumption of green tea is possibly associated with a decreased risk of gastric cancer, although the protective effects have been, for the most part, identified in Japanese women, most of whom are nonsmokers. In contrast, processed meat and N-nitroso compounds may be positively associated with the risk of gastric cancer. In conclusion, dietary modification by reducing salt and salted food intake, as well as by increasing intake of fruit and vitamin C, represents a practical strategy to prevent gastric cancer.","author":[{"dropping-particle":"","family":"Tsugane","given":"Shoichiro","non-dropping-particle":"","parse-names":false,"suffix":""},{"dropping-particle":"","family":"Sasazuki","given":"Shizuka","non-dropping-particle":"","parse-names":false,"suffix":""}],"container-title":"Gastric Cancer","id":"ITEM-1","issue":"2","issued":{"date-parts":[["2007"]]},"page":"75-83","title":"Diet and the risk of gastric cancer: Review of epidemiological evidence","type":"article-journal","volume":"10"},"uris":["http://www.mendeley.com/documents/?uuid=ff256a30-137a-4514-b31c-812b4857643b"]}],"mendeley":{"formattedCitation":"(Tsugane and Sasazuki, 2007)","manualFormatting":"(Tsugane i Sasazuki, 2007)","plainTextFormattedCitation":"(Tsugane and Sasazuki, 2007)","previouslyFormattedCitation":"(Tsugane and Sasazuki, 2007)"},"properties":{"noteIndex":0},"schema":"https://github.com/citation-style-language/schema/raw/master/csl-citation.json"}</w:instrText>
      </w:r>
      <w:r w:rsidR="00FE0ADE" w:rsidRPr="00FC5A3E">
        <w:rPr>
          <w:rStyle w:val="Strong"/>
          <w:b w:val="0"/>
          <w:sz w:val="20"/>
          <w:szCs w:val="20"/>
        </w:rPr>
        <w:fldChar w:fldCharType="separate"/>
      </w:r>
      <w:r w:rsidR="00D93F85" w:rsidRPr="00FC5A3E">
        <w:rPr>
          <w:rStyle w:val="Strong"/>
          <w:b w:val="0"/>
          <w:noProof/>
          <w:sz w:val="20"/>
          <w:szCs w:val="20"/>
        </w:rPr>
        <w:t xml:space="preserve">(Tsugane </w:t>
      </w:r>
      <w:r w:rsidR="00A822FF" w:rsidRPr="00FC5A3E">
        <w:rPr>
          <w:rStyle w:val="Strong"/>
          <w:b w:val="0"/>
          <w:noProof/>
          <w:sz w:val="20"/>
          <w:szCs w:val="20"/>
        </w:rPr>
        <w:t>i</w:t>
      </w:r>
      <w:r w:rsidR="00D93F85" w:rsidRPr="00FC5A3E">
        <w:rPr>
          <w:rStyle w:val="Strong"/>
          <w:b w:val="0"/>
          <w:noProof/>
          <w:sz w:val="20"/>
          <w:szCs w:val="20"/>
        </w:rPr>
        <w:t xml:space="preserve"> Sasazuki, 2007)</w:t>
      </w:r>
      <w:r w:rsidR="00FE0ADE" w:rsidRPr="00FC5A3E">
        <w:rPr>
          <w:rStyle w:val="Strong"/>
          <w:b w:val="0"/>
          <w:sz w:val="20"/>
          <w:szCs w:val="20"/>
        </w:rPr>
        <w:fldChar w:fldCharType="end"/>
      </w:r>
      <w:r w:rsidR="00FE0ADE" w:rsidRPr="00FC5A3E">
        <w:rPr>
          <w:rStyle w:val="Strong"/>
          <w:b w:val="0"/>
          <w:sz w:val="20"/>
          <w:szCs w:val="20"/>
        </w:rPr>
        <w:t xml:space="preserve">. </w:t>
      </w:r>
      <w:r w:rsidR="00226229" w:rsidRPr="00FC5A3E">
        <w:rPr>
          <w:rStyle w:val="Strong"/>
          <w:b w:val="0"/>
          <w:sz w:val="20"/>
          <w:szCs w:val="20"/>
        </w:rPr>
        <w:t>Krvna gru</w:t>
      </w:r>
      <w:r w:rsidR="00D93F85" w:rsidRPr="00FC5A3E">
        <w:rPr>
          <w:rStyle w:val="Strong"/>
          <w:b w:val="0"/>
          <w:sz w:val="20"/>
          <w:szCs w:val="20"/>
        </w:rPr>
        <w:t xml:space="preserve">pa A dodatni je čimbenik rizika, a u ovoj je grupi povećana i učestalost perniciozne anemije koja je zasebni čimbenik rizika </w:t>
      </w:r>
      <w:r w:rsidR="00D93F85" w:rsidRPr="00FC5A3E">
        <w:rPr>
          <w:rStyle w:val="Strong"/>
          <w:b w:val="0"/>
          <w:sz w:val="20"/>
          <w:szCs w:val="20"/>
        </w:rPr>
        <w:fldChar w:fldCharType="begin" w:fldLock="1"/>
      </w:r>
      <w:r w:rsidR="00A822FF" w:rsidRPr="00FC5A3E">
        <w:rPr>
          <w:rStyle w:val="Strong"/>
          <w:b w:val="0"/>
          <w:sz w:val="20"/>
          <w:szCs w:val="20"/>
        </w:rPr>
        <w:instrText>ADDIN CSL_CITATION {"citationItems":[{"id":"ITEM-1","itemData":{"DOI":"10.1093/aje/kwq299","ISSN":"00029262","abstract":"Blood group A was found to be associated with gastric cancer in the 1950s. Strikingly, for peptic ulcers an increased risk has been shown for blood group O. However, previous investigations have generally been poorly conducted and have failed to take a unifying approach to these observations. Using the Scandinavian Donations and Transfusions (referred to as \"SCANDAT\") database, the authors established a cohort of Swedish and Danish blood donors with known blood type and followed these for the occurrence of gastric cancer and peptic ulcers through December 31, 2002. Cases were ascertained by using nationwide cancer and hospital registers. Altogether, 1,089,022 donors were followed for up to 35 years, during which 688 gastric cancer cases and 5,667 peptic ulcer cases accrued. Poisson regression analyses confirmed an increased risk of gastric cancer among individuals with blood group A (incidence rate ratio = 1.20, 95% confidence interval: 1.02, 1.42) and conversely that peptic ulcer risk was instead highest among those with blood group O. In this large, population-based cohort study, the authors have confirmed the association between blood group A and gastric cancer. In addition, they give further support to the notion that individuals with blood group O have a higher risk of peptic ulcers than those with other blood groups.","author":[{"dropping-particle":"","family":"Edgren","given":"Gustaf","non-dropping-particle":"","parse-names":false,"suffix":""},{"dropping-particle":"","family":"Hjalgrim","given":"Henrik","non-dropping-particle":"","parse-names":false,"suffix":""},{"dropping-particle":"","family":"Rostgaard","given":"Klaus","non-dropping-particle":"","parse-names":false,"suffix":""},{"dropping-particle":"","family":"Norda","given":"Rut","non-dropping-particle":"","parse-names":false,"suffix":""},{"dropping-particle":"","family":"Wikman","given":"Agneta","non-dropping-particle":"","parse-names":false,"suffix":""},{"dropping-particle":"","family":"Melbye","given":"Mads","non-dropping-particle":"","parse-names":false,"suffix":""},{"dropping-particle":"","family":"Nyrén","given":"Olof","non-dropping-particle":"","parse-names":false,"suffix":""}],"container-title":"American Journal of Epidemiology","id":"ITEM-1","issue":"11","issued":{"date-parts":[["2010"]]},"page":"1280-1285","title":"Risk of gastric cancer and peptic ulcers in relation to ABO blood type: A cohort study","type":"article-journal","volume":"172"},"uris":["http://www.mendeley.com/documents/?uuid=30fd165d-4794-45b2-94e9-69a8a33acaa0"]}],"mendeley":{"formattedCitation":"(Edgren &lt;i&gt;et al.&lt;/i&gt;, 2010)","manualFormatting":"(Edgren i sur., 2010)","plainTextFormattedCitation":"(Edgren et al., 2010)","previouslyFormattedCitation":"(Edgren &lt;i&gt;et al.&lt;/i&gt;, 2010)"},"properties":{"noteIndex":0},"schema":"https://github.com/citation-style-language/schema/raw/master/csl-citation.json"}</w:instrText>
      </w:r>
      <w:r w:rsidR="00D93F85" w:rsidRPr="00FC5A3E">
        <w:rPr>
          <w:rStyle w:val="Strong"/>
          <w:b w:val="0"/>
          <w:sz w:val="20"/>
          <w:szCs w:val="20"/>
        </w:rPr>
        <w:fldChar w:fldCharType="separate"/>
      </w:r>
      <w:r w:rsidR="00D93F85" w:rsidRPr="00FC5A3E">
        <w:rPr>
          <w:rStyle w:val="Strong"/>
          <w:b w:val="0"/>
          <w:noProof/>
          <w:sz w:val="20"/>
          <w:szCs w:val="20"/>
        </w:rPr>
        <w:t xml:space="preserve">(Edgren </w:t>
      </w:r>
      <w:r w:rsidR="00D93F85" w:rsidRPr="00FC5A3E">
        <w:rPr>
          <w:rStyle w:val="Strong"/>
          <w:b w:val="0"/>
          <w:i/>
          <w:noProof/>
          <w:sz w:val="20"/>
          <w:szCs w:val="20"/>
        </w:rPr>
        <w:t>i sur.,</w:t>
      </w:r>
      <w:r w:rsidR="00D93F85" w:rsidRPr="00FC5A3E">
        <w:rPr>
          <w:rStyle w:val="Strong"/>
          <w:b w:val="0"/>
          <w:noProof/>
          <w:sz w:val="20"/>
          <w:szCs w:val="20"/>
        </w:rPr>
        <w:t xml:space="preserve"> 2010)</w:t>
      </w:r>
      <w:r w:rsidR="00D93F85" w:rsidRPr="00FC5A3E">
        <w:rPr>
          <w:rStyle w:val="Strong"/>
          <w:b w:val="0"/>
          <w:sz w:val="20"/>
          <w:szCs w:val="20"/>
        </w:rPr>
        <w:fldChar w:fldCharType="end"/>
      </w:r>
      <w:r w:rsidR="00D93F85" w:rsidRPr="00FC5A3E">
        <w:rPr>
          <w:rStyle w:val="Strong"/>
          <w:b w:val="0"/>
          <w:sz w:val="20"/>
          <w:szCs w:val="20"/>
        </w:rPr>
        <w:t>.</w:t>
      </w:r>
      <w:r w:rsidR="00A822FF" w:rsidRPr="00FC5A3E">
        <w:rPr>
          <w:rStyle w:val="Strong"/>
          <w:b w:val="0"/>
          <w:sz w:val="20"/>
          <w:szCs w:val="20"/>
        </w:rPr>
        <w:t xml:space="preserve"> Konačno, karcinom želuca češći je kod muškaraca nego kod žena </w:t>
      </w:r>
      <w:r w:rsidR="00A822FF" w:rsidRPr="00FC5A3E">
        <w:rPr>
          <w:rStyle w:val="Strong"/>
          <w:b w:val="0"/>
          <w:sz w:val="20"/>
          <w:szCs w:val="20"/>
        </w:rPr>
        <w:fldChar w:fldCharType="begin" w:fldLock="1"/>
      </w:r>
      <w:r w:rsidR="00DF726A" w:rsidRPr="00FC5A3E">
        <w:rPr>
          <w:rStyle w:val="Strong"/>
          <w:b w:val="0"/>
          <w:sz w:val="20"/>
          <w:szCs w:val="20"/>
        </w:rPr>
        <w:instrText>ADDIN CSL_CITATION {"citationItems":[{"id":"ITEM-1","itemData":{"DOI":"10.3322/caac.21492","ISSN":"1542-4863","PMID":"30207593","abstract":"This article provides a status report on the global burden of cancer worldwide using the GLOBOCAN 2018 estimates of cancer incidence and mortality produced by the International Agency for Research on Cancer, with a focus on geographic variability across 20 world regions. There will be an estimated 18.1 million new cancer cases (17.0 million excluding nonmelanoma skin cancer) and 9.6 million cancer deaths (9.5 million excluding nonmelanoma skin cancer) in 2018. In both sexes combined, lung cancer is the most commonly diagnosed cancer (11.6% of the total cases) and the leading cause of cancer death (18.4% of the total cancer deaths), closely followed by female breast cancer (11.6%), prostate cancer (7.1%), and colorectal cancer (6.1%) for incidence and colorectal cancer (9.2%), stomach cancer (8.2%), and liver cancer (8.2%) for mortality. Lung cancer is the most frequent cancer and the leading cause of cancer death among males, followed by prostate and colorectal cancer (for incidence) and liver and stomach cancer (for mortality). Among females, breast cancer is the most commonly diagnosed cancer and the leading cause of cancer death, followed by colorectal and lung cancer (for incidence), and vice versa (for mortality); cervical cancer ranks fourth for both incidence and mortality. The most frequently diagnosed cancer and the leading cause of cancer death, however, substantially vary across countries and within each country depending on the degree of economic development and associated social and life style factors. It is noteworthy that high-quality cancer registry data, the basis for planning and implementing evidence-based cancer control programs, are not available in most low- and middle-income countries. The Global Initiative for Cancer Registry Development is an international partnership that supports better estimation, as well as the collection and use of local data, to prioritize and evaluate national cancer control efforts. CA: A Cancer Journal for Clinicians 2018;0:1-31. © 2018 American Cancer Society.","author":[{"dropping-particle":"","family":"Bray","given":"Freddie","non-dropping-particle":"","parse-names":false,"suffix":""},{"dropping-particle":"","family":"Ferlay","given":"Jacques","non-dropping-particle":"","parse-names":false,"suffix":""},{"dropping-particle":"","family":"Soerjomataram","given":"Isabelle","non-dropping-particle":"","parse-names":false,"suffix":""},{"dropping-particle":"","family":"Siegel","given":"Rebecca L","non-dropping-particle":"","parse-names":false,"suffix":""},{"dropping-particle":"","family":"Torre","given":"Lindsey A","non-dropping-particle":"","parse-names":false,"suffix":""},{"dropping-particle":"","family":"Jemal","given":"Ahmedin","non-dropping-particle":"","parse-names":false,"suffix":""}],"container-title":"CA: a cancer journal for clinicians","id":"ITEM-1","issue":"6","issued":{"date-parts":[["2018"]]},"page":"394-424","title":"Global cancer statistics 2018: GLOBOCAN estimates of incidence and mortality worldwide for 36 cancers in 185 countries.","type":"article-journal","volume":"68"},"uris":["http://www.mendeley.com/documents/?uuid=f8768d8d-7990-43e4-bdc6-3ee8dcda3945"]}],"mendeley":{"formattedCitation":"(Bray &lt;i&gt;et al.&lt;/i&gt;, 2018)","manualFormatting":"(Bray i sur., 2018)","plainTextFormattedCitation":"(Bray et al., 2018)","previouslyFormattedCitation":"(Bray &lt;i&gt;et al.&lt;/i&gt;, 2018)"},"properties":{"noteIndex":0},"schema":"https://github.com/citation-style-language/schema/raw/master/csl-citation.json"}</w:instrText>
      </w:r>
      <w:r w:rsidR="00A822FF" w:rsidRPr="00FC5A3E">
        <w:rPr>
          <w:rStyle w:val="Strong"/>
          <w:b w:val="0"/>
          <w:sz w:val="20"/>
          <w:szCs w:val="20"/>
        </w:rPr>
        <w:fldChar w:fldCharType="separate"/>
      </w:r>
      <w:r w:rsidR="00A822FF" w:rsidRPr="00FC5A3E">
        <w:rPr>
          <w:rStyle w:val="Strong"/>
          <w:b w:val="0"/>
          <w:noProof/>
          <w:sz w:val="20"/>
          <w:szCs w:val="20"/>
        </w:rPr>
        <w:t xml:space="preserve">(Bray </w:t>
      </w:r>
      <w:r w:rsidR="00DF726A" w:rsidRPr="00FC5A3E">
        <w:rPr>
          <w:rStyle w:val="Strong"/>
          <w:b w:val="0"/>
          <w:i/>
          <w:noProof/>
          <w:sz w:val="20"/>
          <w:szCs w:val="20"/>
        </w:rPr>
        <w:t>i sur.,</w:t>
      </w:r>
      <w:r w:rsidR="00A822FF" w:rsidRPr="00FC5A3E">
        <w:rPr>
          <w:rStyle w:val="Strong"/>
          <w:b w:val="0"/>
          <w:noProof/>
          <w:sz w:val="20"/>
          <w:szCs w:val="20"/>
        </w:rPr>
        <w:t xml:space="preserve"> 2018)</w:t>
      </w:r>
      <w:r w:rsidR="00A822FF" w:rsidRPr="00FC5A3E">
        <w:rPr>
          <w:rStyle w:val="Strong"/>
          <w:b w:val="0"/>
          <w:sz w:val="20"/>
          <w:szCs w:val="20"/>
        </w:rPr>
        <w:fldChar w:fldCharType="end"/>
      </w:r>
      <w:r w:rsidR="00A822FF" w:rsidRPr="00FC5A3E">
        <w:rPr>
          <w:rStyle w:val="Strong"/>
          <w:b w:val="0"/>
          <w:sz w:val="20"/>
          <w:szCs w:val="20"/>
        </w:rPr>
        <w:t xml:space="preserve">. Moguće objašnjenje je zaštitni učinak estrogena </w:t>
      </w:r>
      <w:r w:rsidR="00A822FF" w:rsidRPr="00FC5A3E">
        <w:rPr>
          <w:rStyle w:val="Strong"/>
          <w:b w:val="0"/>
          <w:sz w:val="20"/>
          <w:szCs w:val="20"/>
        </w:rPr>
        <w:fldChar w:fldCharType="begin" w:fldLock="1"/>
      </w:r>
      <w:r w:rsidR="00DF726A" w:rsidRPr="00FC5A3E">
        <w:rPr>
          <w:rStyle w:val="Strong"/>
          <w:b w:val="0"/>
          <w:sz w:val="20"/>
          <w:szCs w:val="20"/>
        </w:rPr>
        <w:instrText>ADDIN CSL_CITATION {"citationItems":[{"id":"ITEM-1","itemData":{"DOI":"10.1002/ijc.30024","ISSN":"10970215","abstract":"Gastric cancer incidence varies greatly worldwide, but is consistently twice as high in men than in women. The hormone-related factors hypothesized to be associated with lower risk of gastric cancer in women have not been fully explored in populations with a high background risk of gastric cancer. The Singapore Chinese Health Study (SCHS) is a prospective cohort study in which 34,022 of the participants enrolled between 1993 and 1998 were women between 45 and 74 years of age. Information on reproductive histories, hormone replacement therapy (HRT) and oral contraceptive (OC) use was collected through in-person interviews at baseline. As of December 31, 2013, 269 incident gastric cancer cases were identified. Multivariable-adjusted hazard ratios (HRs) and 95% confidence intervals (CIs) were calculated to evaluate gastric cancer risk associations. Older age at natural menopause (&gt;/=55 versus &lt;45 years: HR = 0.50, 95% CI: 0.25-0.99), type of menopause (other versus natural: HR = 0.48, 95% CI: 0.27-0.87) and greater years of menstrual cycling (fourth versus first quartile: HR = 0.67, 95% CI: 0.46-0.96) were associated with a decreased risk of gastric cancer. Ever use of OCs and HRT was also associated with reduced risk of gastric cancer; the multivariable-adjusted HRs (95% CIs) were 0.40 (0.17-0.90) for use of HRT &gt;3 years and 0.67 (0.47-0.94) for ever use of OCs, compared with never use. Reproductive factors associated with a longer window of fertility and the use of exogenous hormones were shown to reduce gastric cancer development in a cohort of Chinese women with a high background risk of gastric cancer. (c) 2016 UICC.","author":[{"dropping-particle":"","family":"Wang","given":"Zhensheng","non-dropping-particle":"","parse-names":false,"suffix":""},{"dropping-particle":"","family":"Butler","given":"Lesley M.","non-dropping-particle":"","parse-names":false,"suffix":""},{"dropping-particle":"","family":"Wu","given":"Anna H.","non-dropping-particle":"","parse-names":false,"suffix":""},{"dropping-particle":"","family":"Koh","given":"Woon Puay","non-dropping-particle":"","parse-names":false,"suffix":""},{"dropping-particle":"","family":"Jin","given":"Aizhen","non-dropping-particle":"","parse-names":false,"suffix":""},{"dropping-particle":"","family":"Wang","given":"Renwei","non-dropping-particle":"","parse-names":false,"suffix":""},{"dropping-particle":"","family":"Yuan","given":"Jian Min","non-dropping-particle":"","parse-names":false,"suffix":""}],"container-title":"International Journal of Cancer","id":"ITEM-1","issue":"12","issued":{"date-parts":[["2016"]]},"page":"2837-2845","title":"Reproductive factors, hormone use and gastric cancer risk: The Singapore Chinese Health Study","type":"article-journal","volume":"138"},"uris":["http://www.mendeley.com/documents/?uuid=7eaa6469-7433-40af-be1f-9930637001d0"]}],"mendeley":{"formattedCitation":"(Wang &lt;i&gt;et al.&lt;/i&gt;, 2016)","manualFormatting":"(Wang i sur., 2016)","plainTextFormattedCitation":"(Wang et al., 2016)","previouslyFormattedCitation":"(Wang &lt;i&gt;et al.&lt;/i&gt;, 2016)"},"properties":{"noteIndex":0},"schema":"https://github.com/citation-style-language/schema/raw/master/csl-citation.json"}</w:instrText>
      </w:r>
      <w:r w:rsidR="00A822FF" w:rsidRPr="00FC5A3E">
        <w:rPr>
          <w:rStyle w:val="Strong"/>
          <w:b w:val="0"/>
          <w:sz w:val="20"/>
          <w:szCs w:val="20"/>
        </w:rPr>
        <w:fldChar w:fldCharType="separate"/>
      </w:r>
      <w:r w:rsidR="00A822FF" w:rsidRPr="00FC5A3E">
        <w:rPr>
          <w:rStyle w:val="Strong"/>
          <w:b w:val="0"/>
          <w:noProof/>
          <w:sz w:val="20"/>
          <w:szCs w:val="20"/>
        </w:rPr>
        <w:t xml:space="preserve">(Wang </w:t>
      </w:r>
      <w:r w:rsidR="00DF726A" w:rsidRPr="00FC5A3E">
        <w:rPr>
          <w:rStyle w:val="Strong"/>
          <w:b w:val="0"/>
          <w:i/>
          <w:noProof/>
          <w:sz w:val="20"/>
          <w:szCs w:val="20"/>
        </w:rPr>
        <w:t>i sur.,</w:t>
      </w:r>
      <w:r w:rsidR="00A822FF" w:rsidRPr="00FC5A3E">
        <w:rPr>
          <w:rStyle w:val="Strong"/>
          <w:b w:val="0"/>
          <w:noProof/>
          <w:sz w:val="20"/>
          <w:szCs w:val="20"/>
        </w:rPr>
        <w:t xml:space="preserve"> 2016)</w:t>
      </w:r>
      <w:r w:rsidR="00A822FF" w:rsidRPr="00FC5A3E">
        <w:rPr>
          <w:rStyle w:val="Strong"/>
          <w:b w:val="0"/>
          <w:sz w:val="20"/>
          <w:szCs w:val="20"/>
        </w:rPr>
        <w:fldChar w:fldCharType="end"/>
      </w:r>
      <w:r w:rsidR="00A822FF" w:rsidRPr="00FC5A3E">
        <w:rPr>
          <w:rStyle w:val="Strong"/>
          <w:b w:val="0"/>
          <w:sz w:val="20"/>
          <w:szCs w:val="20"/>
        </w:rPr>
        <w:t xml:space="preserve">. </w:t>
      </w:r>
    </w:p>
    <w:p w:rsidR="00DF726A" w:rsidRPr="00DF726A" w:rsidRDefault="00A37DE1" w:rsidP="00A37DE1">
      <w:pPr>
        <w:pStyle w:val="Heading2"/>
        <w:numPr>
          <w:ilvl w:val="1"/>
          <w:numId w:val="18"/>
        </w:numPr>
        <w:rPr>
          <w:rStyle w:val="Strong"/>
        </w:rPr>
      </w:pPr>
      <w:r>
        <w:rPr>
          <w:rStyle w:val="Strong"/>
          <w:b/>
        </w:rPr>
        <w:lastRenderedPageBreak/>
        <w:t xml:space="preserve"> </w:t>
      </w:r>
      <w:bookmarkStart w:id="2" w:name="_Toc7695561"/>
      <w:r w:rsidR="00DF726A">
        <w:rPr>
          <w:rStyle w:val="Strong"/>
          <w:b/>
        </w:rPr>
        <w:t>Pentraxin 3</w:t>
      </w:r>
      <w:bookmarkEnd w:id="2"/>
    </w:p>
    <w:p w:rsidR="0073138B" w:rsidRPr="00E67E82" w:rsidRDefault="00382CC4" w:rsidP="00E67E82">
      <w:pPr>
        <w:spacing w:line="360" w:lineRule="auto"/>
        <w:jc w:val="both"/>
        <w:rPr>
          <w:rStyle w:val="Strong"/>
          <w:rFonts w:eastAsiaTheme="majorEastAsia" w:cstheme="majorBidi"/>
          <w:b w:val="0"/>
          <w:sz w:val="20"/>
          <w:szCs w:val="20"/>
        </w:rPr>
      </w:pPr>
      <w:r w:rsidRPr="00E732FF">
        <w:rPr>
          <w:rStyle w:val="Strong"/>
          <w:b w:val="0"/>
          <w:bCs w:val="0"/>
        </w:rPr>
        <w:br/>
      </w:r>
      <w:r w:rsidR="00712F55" w:rsidRPr="00E732FF">
        <w:rPr>
          <w:rStyle w:val="Strong"/>
          <w:b w:val="0"/>
          <w:bCs w:val="0"/>
        </w:rPr>
        <w:t xml:space="preserve"> </w:t>
      </w:r>
      <w:r w:rsidR="00A37DE1" w:rsidRPr="00E67E82">
        <w:rPr>
          <w:rStyle w:val="Strong"/>
          <w:b w:val="0"/>
          <w:bCs w:val="0"/>
          <w:sz w:val="20"/>
          <w:szCs w:val="20"/>
        </w:rPr>
        <w:t xml:space="preserve">Long pentraxin 3 (PTX3) otkriven je 1992. godine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{"citationItems":[{"id":"ITEM-1","itemData":{"PMID":"1429570","abstract":"Sphingolipid metabolites participate in key events of signal transduction and cell regulation. In the sphingomyelin cycle, a number of extracellular agents and insults (such as tumor necrosis factor, Fas ligands, and chemotherapeutic agents) cause the activation of sphingomyelinases, which act on membrane sphingomyelin and release ceramide. Multiple experimental approaches suggest an important role for ceramide in regulating such diverse responses as cell cycle arrest, apoptosis, and cell senescence. In vitro, ceramide activates a serine-threonine protein phosphatase, and in cells it regulates protein phosphorylation as well as multiple downstream targets such as interleukin converting enzyme (ICE)-like proteases, stress-activated protein kinases, and the retinoblastoma gene product that mediate its distinct cellular effects. This spectrum of inducers of ceramide accumulation and the nature of ceramide-mediated responses suggest that ceramide is a key component of intracellular stress response pathways.","author":[{"dropping-particle":"","family":"Breviario","given":"Ferruccio","non-dropping-particle":"","parse-names":false,"suffix":""},{"dropping-particle":"","family":"Aniello","given":"Elisabetta M","non-dropping-particle":"","parse-names":false,"suffix":""},{"dropping-particle":"","family":"Golay","given":"Josee","non-dropping-particle":"","parse-names":false,"suffix":""},{"dropping-particle":"","family":"Peri","given":"Giuseppe","non-dropping-particle":"","parse-names":false,"suffix":""},{"dropping-particle":"","family":"Bottazzi","given":"Barbara","non-dropping-particle":"","parse-names":false,"suffix":""},{"dropping-particle":"","family":"Bairoch","given":"Amos","non-dropping-particle":"","parse-names":false,"suffix":""},{"dropping-particle":"","family":"Saccone","given":"Salvatore","non-dropping-particle":"","parse-names":false,"suffix":""},{"dropping-particle":"","family":"Marzella","given":"Rosalia","non-dropping-particle":"","parse-names":false,"suffix":""},{"dropping-particle":"","family":"Predazzi","given":"Valentina","non-dropping-particle":"","parse-names":false,"suffix":""},{"dropping-particle":"","family":"Rocchi","given":"Mariano","non-dropping-particle":"","parse-names":false,"suffix":""},{"dropping-particle":"Della","family":"Valle","given":"Giuliano","non-dropping-particle":"","parse-names":false,"suffix":""},{"dropping-particle":"","family":"Dejana","given":"Elisabetta","non-dropping-particle":"","parse-names":false,"suffix":""},{"dropping-particle":"","family":"Mantovani","given":"Alberto","non-dropping-particle":"","parse-names":false,"suffix":""},{"dropping-particle":"","family":"Introna","given":"Martino","non-dropping-particle":"","parse-names":false,"suffix":""}],"container-title":"The Journal of Biological Chemistry","id":"ITEM-1","issue":"31","issued":{"date-parts":[["1992"]]},"page":"22190-22197","title":"Interleukin-1-inducible genes in endothelial cells","type":"article-journal","volume":"267"},"uris":["http://www.mendeley.com/documents/?uuid=21528fd4-a61b-4a4f-b7cd-3effe1175129"]}],"mendeley":{"formattedCitation":"(Breviario &lt;i&gt;et al.&lt;/i&gt;, 1992)","manualFormatting":"(Breviario i sur., 1992)","plainTextFormattedCitation":"(Breviario et al., 1992)","previouslyFormattedCitation":"(Breviario &lt;i&gt;et al.&lt;/i&gt;, 1992)"},"properties":{"noteIndex":0},"schema":"https://github.com/citation-style-language/schema/raw/master/csl-citation.json"}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(Breviario </w:t>
      </w:r>
      <w:r w:rsidR="003F4A87">
        <w:rPr>
          <w:rStyle w:val="Strong"/>
          <w:b w:val="0"/>
          <w:bCs w:val="0"/>
          <w:i/>
          <w:noProof/>
          <w:sz w:val="20"/>
          <w:szCs w:val="20"/>
        </w:rPr>
        <w:t>i sur.,</w:t>
      </w:r>
      <w:r w:rsidR="00A37DE1" w:rsidRPr="00E67E82">
        <w:rPr>
          <w:rStyle w:val="Strong"/>
          <w:b w:val="0"/>
          <w:bCs w:val="0"/>
          <w:noProof/>
          <w:sz w:val="20"/>
          <w:szCs w:val="20"/>
        </w:rPr>
        <w:t xml:space="preserve"> 1992)</w:t>
      </w:r>
      <w:r w:rsidR="00A37DE1" w:rsidRPr="00E67E82">
        <w:rPr>
          <w:rStyle w:val="Strong"/>
          <w:b w:val="0"/>
          <w:bCs w:val="0"/>
          <w:sz w:val="20"/>
          <w:szCs w:val="20"/>
        </w:rPr>
        <w:fldChar w:fldCharType="end"/>
      </w:r>
      <w:r w:rsidR="00A37DE1" w:rsidRPr="00E67E82">
        <w:rPr>
          <w:rStyle w:val="Strong"/>
          <w:b w:val="0"/>
          <w:bCs w:val="0"/>
          <w:sz w:val="20"/>
          <w:szCs w:val="20"/>
        </w:rPr>
        <w:t xml:space="preserve">. Naziva se i TNF-stimulated gene 14 (TSG-14). Humani PTX3 po molekularnoj strukturi je glikoprotein od 45 kDa koji se sastoji od multiplih protomernih podjedinica međusobno povezanih disufidnim vezama. Svaka protomerna podjedinica sastoji se od 381 aminokiseline koje formiraju signalni peptid, N-terminalnu domenu i C-terminalnu domenu </w:t>
      </w:r>
      <w:r w:rsidR="00A37DE1" w:rsidRPr="00E67E82">
        <w:rPr>
          <w:rStyle w:val="Strong"/>
          <w:b w:val="0"/>
          <w:bCs w:val="0"/>
          <w:sz w:val="20"/>
          <w:szCs w:val="20"/>
        </w:rPr>
        <w:fldChar w:fldCharType="begin" w:fldLock="1"/>
      </w:r>
      <w:r w:rsidR="00F41B60">
        <w:rPr>
          <w:rStyle w:val="Strong"/>
          <w:b w:val="0"/>
          <w:bCs w:val="0"/>
          <w:sz w:val="20"/>
          <w:szCs w:val="20"/>
        </w:rPr>
        <w:instrText xml:space="preserve">ADDIN CSL_CITATION {"citationItems":[{"id":"ITEM-1","itemData":{"DOI":"10.1074/jbc.272.52.32817","ISSN":"0021-9258","abstract":"PTX3 is a prototypic long pentraxin consisting of a C-terminal 203-amino acid pentraxin-like domain cou- pled with an N-terminal 178-amino acid unrelated por- tion. The present study was designed to characterize the structure and ligand binding properties of human PTX3, in comparison with the classical pentraxins C-reactive protein and serum amyloid P component. Sequencing of Chinese hamster ovary cell-expressed PTX3 revealed that the mature secreted protein starts at residue 18 (Glu). Lectin binding and treatment with N-glycosidase F showed that PTX3 is N-glycosylated, sugars account- ing for 5 kDa of the monomer mass (45 kDa). Circular dichroism analysis indicated that the protein consists predominantly of </w:instrText>
      </w:r>
      <w:r w:rsidR="00F41B60">
        <w:rPr>
          <w:rStyle w:val="Strong"/>
          <w:rFonts w:hint="eastAsia"/>
          <w:b w:val="0"/>
          <w:bCs w:val="0"/>
          <w:sz w:val="20"/>
          <w:szCs w:val="20"/>
        </w:rPr>
        <w:instrText></w:instrText>
      </w:r>
      <w:r w:rsidR="00F41B60">
        <w:rPr>
          <w:rStyle w:val="Strong"/>
          <w:b w:val="0"/>
          <w:bCs w:val="0"/>
          <w:sz w:val="20"/>
          <w:szCs w:val="20"/>
        </w:rPr>
        <w:instrText xml:space="preserve">-sheets with a minor </w:instrText>
      </w:r>
      <w:r w:rsidR="00F41B60">
        <w:rPr>
          <w:rStyle w:val="Strong"/>
          <w:rFonts w:hint="eastAsia"/>
          <w:b w:val="0"/>
          <w:bCs w:val="0"/>
          <w:sz w:val="20"/>
          <w:szCs w:val="20"/>
        </w:rPr>
        <w:instrText></w:instrText>
      </w:r>
      <w:r w:rsidR="00F41B60">
        <w:rPr>
          <w:rStyle w:val="Strong"/>
          <w:b w:val="0"/>
          <w:bCs w:val="0"/>
          <w:sz w:val="20"/>
          <w:szCs w:val="20"/>
        </w:rPr>
        <w:instrText xml:space="preserve">-helical com- ponent. While in gel filtration the protein is eluted with a molecular mass of </w:instrText>
      </w:r>
      <w:r w:rsidR="00F41B60">
        <w:rPr>
          <w:rStyle w:val="Strong"/>
          <w:rFonts w:hint="eastAsia"/>
          <w:b w:val="0"/>
          <w:bCs w:val="0"/>
          <w:sz w:val="20"/>
          <w:szCs w:val="20"/>
        </w:rPr>
        <w:instrText></w:instrText>
      </w:r>
      <w:r w:rsidR="00F41B60">
        <w:rPr>
          <w:rStyle w:val="Strong"/>
          <w:b w:val="0"/>
          <w:bCs w:val="0"/>
          <w:sz w:val="20"/>
          <w:szCs w:val="20"/>
        </w:rPr>
        <w:instrText>900 kDa, gel electrophoresis using nondenaturing, nonreducing conditions revealed that PTX3 forms multimers predominantly of 440 kDa appar- ent molecular mass, corresponding to decamers, and that disulfide bonds are required for multimer forma- tion. The ligand binding properties of PTX3 were then examined. As predicted based on modeling, inductive coupled plasma/atomic emission spectroscopy showed that PTX3 does not have coordinated Ca2</w:instrText>
      </w:r>
      <w:r w:rsidR="00F41B60">
        <w:rPr>
          <w:rStyle w:val="Strong"/>
          <w:rFonts w:hint="eastAsia"/>
          <w:b w:val="0"/>
          <w:bCs w:val="0"/>
          <w:sz w:val="20"/>
          <w:szCs w:val="20"/>
        </w:rPr>
        <w:instrText></w:instrText>
      </w:r>
      <w:r w:rsidR="00F41B60">
        <w:rPr>
          <w:rStyle w:val="Strong"/>
          <w:b w:val="0"/>
          <w:bCs w:val="0"/>
          <w:sz w:val="20"/>
          <w:szCs w:val="20"/>
        </w:rPr>
        <w:instrText xml:space="preserve">. Unlike the classical pentraxins CRP and SAP, PTX3 did not bind phosphoethanolamine, phosphocholine, or high pyru- vate agarose. PTX3 in solution, bound to immobilized C1q, but not C1s, and, reciprocally, C1q bound to immo- bilized PTX3. Binding of PTX3 to C1q is specific and saturable with a Kd 7.4 </w:instrText>
      </w:r>
      <w:r w:rsidR="00F41B60">
        <w:rPr>
          <w:rStyle w:val="Strong"/>
          <w:rFonts w:hint="eastAsia"/>
          <w:b w:val="0"/>
          <w:bCs w:val="0"/>
          <w:sz w:val="20"/>
          <w:szCs w:val="20"/>
        </w:rPr>
        <w:instrText></w:instrText>
      </w:r>
      <w:r w:rsidR="00F41B60">
        <w:rPr>
          <w:rStyle w:val="Strong"/>
          <w:b w:val="0"/>
          <w:bCs w:val="0"/>
          <w:sz w:val="20"/>
          <w:szCs w:val="20"/>
        </w:rPr>
        <w:instrText xml:space="preserve"> 10</w:instrText>
      </w:r>
      <w:r w:rsidR="00F41B60">
        <w:rPr>
          <w:rStyle w:val="Strong"/>
          <w:rFonts w:hint="eastAsia"/>
          <w:b w:val="0"/>
          <w:bCs w:val="0"/>
          <w:sz w:val="20"/>
          <w:szCs w:val="20"/>
        </w:rPr>
        <w:instrText></w:instrText>
      </w:r>
      <w:r w:rsidR="00F41B60">
        <w:rPr>
          <w:rStyle w:val="Strong"/>
          <w:b w:val="0"/>
          <w:bCs w:val="0"/>
          <w:sz w:val="20"/>
          <w:szCs w:val="20"/>
        </w:rPr>
        <w:instrText>8 M as determined by solid phase binding assay. The Chinese hamster ovary cell- expressed pentraxin domain bound C1q when multim- erized. Thus, as predicted on the basis of computer mod- eling, the prototypic long pentraxin PTX3 forms multimers, which differ from those formed by classical pentraxins in terms of protomer composition and re-","author":[{"dropping-particle":"","family":"Bottazzi","given":"Barbara","non-dropping-particle":"","parse-names":false,"suffix":""},{"dropping-particle":"","family":"Vouret-Craviari","given":"Valérie","non-dropping-particle":"","parse-names":false,"suffix":""},{"dropping-particle":"","family":"Bastone","given":"Antonio","non-dropping-particle":"","parse-names":false,"suffix":""},{"dropping-particle":"","family":"Gioia","given":"Luca","non-dropping-particle":"De","parse-names":false,"suffix":""},{"dropping-particle":"","family":"Matteucci","given":"Cristian","non-dropping-particle":"","parse-names":false,"suffix":""},{"dropping-particle":"","family":"Peri","given":"Giuseppe","non-dropping-particle":"","parse-names":false,"suffix":""},{"dropping-particle":"","family":"Spreafico","given":"Fabio","non-dropping-particle":"","parse-names":false,"suffix":""},{"dropping-particle":"","family":"Pausa","given":"Mario","non-dropping-particle":"","parse-names":false,"suffix":""},{"dropping-particle":"","family":"D’Ettorre","given":"Cinzia","non-dropping-particle":"","parse-names":false,"suffix":""},{"dropping-particle":"","family":"Gianazza","given":"Elisabetta","non-dropping-particle":"","parse-names":false,"suffix":""},{"dropping-particle":"","family":"Tagliabue","given":"Aldo","non-dropping-particle":"","parse-names":false,"suffix":""},{"dropping-particle":"","family":"Salmona","given":"Mario","non-dropping-particle":"","parse-names":false,"suffix":""},{"dropping-particle":"","family":"Tedesco","given":"Francesco","non-dropping-particle":"","parse-names":false,"suffix":""},{"dropping-particle":"","family":"Introna","given":"Martino","non-dropping-particle":"","parse-names":false,"suffix":""},{"dropping-particle":"","family":"Mantovani","given":"Alberto","non-dropping-particle":"","parse-names":false,"suffix":""}],"container-title":"Journal of Biological Chemistry","id":"ITEM-1","issue":"52","issued":{"date-parts":[["2002"]]},"page":"32817-32823","title":"Multimer Formation and Ligand Recognition by the Long Pentraxin PTX3","type":"article-journal","volume":"272"},"uris":["http://www.mendeley.com/documents/?uuid=68ff93f7-377e-4b11-a92b-cf1a4a1ba790"]}],"mendeley":{"formattedCitation":"(Bottazzi &lt;i&gt;et al.&lt;/i&gt;, 2002)","manualFormatting":"(Bottazzi i sur., 2002)","plainTextFormattedCitation":"(Bottazzi et al., 2002)","previouslyFormattedCitation":"(Bottazzi &lt;i&gt;et al.&lt;/i&gt;, 2002)"},"properties":{"noteIndex":0},"schema":"https://github.com/citation-style-language/schema/raw/master/csl-citation.json"}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(Bottazzi </w:t>
      </w:r>
      <w:r w:rsidR="003F4A87">
        <w:rPr>
          <w:rStyle w:val="Strong"/>
          <w:b w:val="0"/>
          <w:bCs w:val="0"/>
          <w:i/>
          <w:noProof/>
          <w:sz w:val="20"/>
          <w:szCs w:val="20"/>
        </w:rPr>
        <w:t>i sur.,</w:t>
      </w:r>
      <w:r w:rsidR="00A37DE1" w:rsidRPr="00E67E82">
        <w:rPr>
          <w:rStyle w:val="Strong"/>
          <w:b w:val="0"/>
          <w:bCs w:val="0"/>
          <w:noProof/>
          <w:sz w:val="20"/>
          <w:szCs w:val="20"/>
        </w:rPr>
        <w:t xml:space="preserve"> 2002)</w:t>
      </w:r>
      <w:r w:rsidR="00A37DE1" w:rsidRPr="00E67E82">
        <w:rPr>
          <w:rStyle w:val="Strong"/>
          <w:b w:val="0"/>
          <w:bCs w:val="0"/>
          <w:sz w:val="20"/>
          <w:szCs w:val="20"/>
        </w:rPr>
        <w:fldChar w:fldCharType="end"/>
      </w:r>
      <w:r w:rsidR="00A37DE1" w:rsidRPr="00E67E82">
        <w:rPr>
          <w:rStyle w:val="Strong"/>
          <w:b w:val="0"/>
          <w:bCs w:val="0"/>
          <w:sz w:val="20"/>
          <w:szCs w:val="20"/>
        </w:rPr>
        <w:t>. PTX3 pripada obitelji pentraksina u koju se ubrajaju i tzv. kratki pentraksini: C-reaktivni protein (CRP) i serumska a</w:t>
      </w:r>
      <w:r w:rsidR="00E67E82">
        <w:rPr>
          <w:rStyle w:val="Strong"/>
          <w:b w:val="0"/>
          <w:bCs w:val="0"/>
          <w:sz w:val="20"/>
          <w:szCs w:val="20"/>
        </w:rPr>
        <w:t xml:space="preserve">miloidna P-komponenta (SAP). </w:t>
      </w:r>
      <w:r w:rsidR="00A37DE1" w:rsidRPr="00E67E82">
        <w:rPr>
          <w:rStyle w:val="Strong"/>
          <w:b w:val="0"/>
          <w:bCs w:val="0"/>
          <w:sz w:val="20"/>
          <w:szCs w:val="20"/>
        </w:rPr>
        <w:t xml:space="preserve">Originalno je opisan kao solubilni receptor koji prepoznaje molekularne obrasce povezane s patogenom u sklopu prirođene imunosti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author":[{"dropping-particle":"","family":"Victor","given":"By","non-dropping-particle":"","parse-names":false,"suffix":""},{"dropping-particle":"","family":"Alles","given":"Vidal","non-dropping-particle":"","parse-names":false,"suffix":""},{"dropping-particle":"","family":"Bottazzi","given":"Barbara","non-dropping-particle":"","parse-names":false,"suffix":""},{"dropping-particle":"","family":"Peri","given":"Giuseppe","non-dropping-particle":"","parse-names":false,"suffix":""},{"dropping-particle":"","family":"Golay","given":"Jose","non-dropping-particle":"","parse-names":false,"suffix":""},{"dropping-particle":"","family":"Introna","given":"Martino","non-dropping-particle":"","parse-names":false,"suffix":""},{"dropping-particle":"","family":"Mantovatli","given":"Alberto","non-dropping-particle":"","parse-names":false,"suffix":""}],"id":"ITEM-1","issue":"10","issued":{"date-parts":[["2015"]]},"page":"3483-3493","title":"Inducible Expression of PTX3, a New Member","type":"article-journal","volume":"84"},"uris":["http://www.mendeley.com/documents/?uuid=1453af71-4221-4cd5-b9ad-3f5ca2acefc0"]}],"mendeley":{"formattedCitation":"(Victor &lt;i&gt;et al.&lt;/i&gt;, 2015)","manualFormatting":"(Victor i sur., 2015)","plainTextFormattedCitation":"(Victor et al., 2015)","previouslyFormattedCitation":"(Victor &lt;i&gt;et al.&lt;/i&gt;, 2015)"},"properties":{"noteIndex":0},"schema":"https://github.com/citation-style-language/schema/raw/master/csl-citation.json"}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(Victor </w:t>
      </w:r>
      <w:r w:rsidR="003F4A87">
        <w:rPr>
          <w:rStyle w:val="Strong"/>
          <w:b w:val="0"/>
          <w:bCs w:val="0"/>
          <w:i/>
          <w:noProof/>
          <w:sz w:val="20"/>
          <w:szCs w:val="20"/>
        </w:rPr>
        <w:t>i sur.,</w:t>
      </w:r>
      <w:r w:rsidR="00A37DE1" w:rsidRPr="00E67E82">
        <w:rPr>
          <w:rStyle w:val="Strong"/>
          <w:b w:val="0"/>
          <w:bCs w:val="0"/>
          <w:noProof/>
          <w:sz w:val="20"/>
          <w:szCs w:val="20"/>
        </w:rPr>
        <w:t xml:space="preserve"> 2015)</w:t>
      </w:r>
      <w:r w:rsidR="00A37DE1" w:rsidRPr="00E67E82">
        <w:rPr>
          <w:rStyle w:val="Strong"/>
          <w:b w:val="0"/>
          <w:bCs w:val="0"/>
          <w:sz w:val="20"/>
          <w:szCs w:val="20"/>
        </w:rPr>
        <w:fldChar w:fldCharType="end"/>
      </w:r>
      <w:r w:rsidR="008328CA">
        <w:rPr>
          <w:rStyle w:val="Strong"/>
          <w:b w:val="0"/>
          <w:bCs w:val="0"/>
          <w:sz w:val="20"/>
          <w:szCs w:val="20"/>
        </w:rPr>
        <w:t xml:space="preserve">. </w:t>
      </w:r>
      <w:r w:rsidR="00A37DE1" w:rsidRPr="00E67E82">
        <w:rPr>
          <w:rStyle w:val="Strong"/>
          <w:b w:val="0"/>
          <w:bCs w:val="0"/>
          <w:sz w:val="20"/>
          <w:szCs w:val="20"/>
        </w:rPr>
        <w:t xml:space="preserve">Humani PTX3 gen identificiran je probirom cDNA knjižnice stvorene iz endotelnih stanica humane umbilikalne vene stimuliranih IL-1β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{"citationItems":[{"id":"ITEM-1","itemData":{"PMID":"1429570","abstract":"Sphingolipid metabolites participate in key events of signal transduction and cell regulation. In the sphingomyelin cycle, a number of extracellular agents and insults (such as tumor necrosis factor, Fas ligands, and chemotherapeutic agents) cause the activation of sphingomyelinases, which act on membrane sphingomyelin and release ceramide. Multiple experimental approaches suggest an important role for ceramide in regulating such diverse responses as cell cycle arrest, apoptosis, and cell senescence. In vitro, ceramide activates a serine-threonine protein phosphatase, and in cells it regulates protein phosphorylation as well as multiple downstream targets such as interleukin converting enzyme (ICE)-like proteases, stress-activated protein kinases, and the retinoblastoma gene product that mediate its distinct cellular effects. This spectrum of inducers of ceramide accumulation and the nature of ceramide-mediated responses suggest that ceramide is a key component of intracellular stress response pathways.","author":[{"dropping-particle":"","family":"Breviario","given":"Ferruccio","non-dropping-particle":"","parse-names":false,"suffix":""},{"dropping-particle":"","family":"Aniello","given":"Elisabetta M","non-dropping-particle":"","parse-names":false,"suffix":""},{"dropping-particle":"","family":"Golay","given":"Josee","non-dropping-particle":"","parse-names":false,"suffix":""},{"dropping-particle":"","family":"Peri","given":"Giuseppe","non-dropping-particle":"","parse-names":false,"suffix":""},{"dropping-particle":"","family":"Bottazzi","given":"Barbara","non-dropping-particle":"","parse-names":false,"suffix":""},{"dropping-particle":"","family":"Bairoch","given":"Amos","non-dropping-particle":"","parse-names":false,"suffix":""},{"dropping-particle":"","family":"Saccone","given":"Salvatore","non-dropping-particle":"","parse-names":false,"suffix":""},{"dropping-particle":"","family":"Marzella","given":"Rosalia","non-dropping-particle":"","parse-names":false,"suffix":""},{"dropping-particle":"","family":"Predazzi","given":"Valentina","non-dropping-particle":"","parse-names":false,"suffix":""},{"dropping-particle":"","family":"Rocchi","given":"Mariano","non-dropping-particle":"","parse-names":false,"suffix":""},{"dropping-particle":"Della","family":"Valle","given":"Giuliano","non-dropping-particle":"","parse-names":false,"suffix":""},{"dropping-particle":"","family":"Dejana","given":"Elisabetta","non-dropping-particle":"","parse-names":false,"suffix":""},{"dropping-particle":"","family":"Mantovani","given":"Alberto","non-dropping-particle":"","parse-names":false,"suffix":""},{"dropping-particle":"","family":"Introna","given":"Martino","non-dropping-particle":"","parse-names":false,"suffix":""}],"container-title":"The Journal of Biological Chemistry","id":"ITEM-1","issue":"31","issued":{"date-parts":[["1992"]]},"page":"22190-22197","title":"Interleukin-1-inducible genes in endothelial cells","type":"article-journal","volume":"267"},"uris":["http://www.mendeley.com/documents/?uuid=21528fd4-a61b-4a4f-b7cd-3effe1175129"]}],"mendeley":{"formattedCitation":"(Breviario &lt;i&gt;et al.&lt;/i&gt;, 1992)","manualFormatting":"(Breviario i sur., 1992)","plainTextFormattedCitation":"(Breviario et al., 1992)","previouslyFormattedCitation":"(Breviario &lt;i&gt;et al.&lt;/i&gt;, 1992)"},"properties":{"noteIndex":0},"schema":"https://github.com/citation-style-language/schema/raw/master/csl-citation.json"}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(Breviario </w:t>
      </w:r>
      <w:r w:rsidR="003F4A87">
        <w:rPr>
          <w:rStyle w:val="Strong"/>
          <w:b w:val="0"/>
          <w:bCs w:val="0"/>
          <w:i/>
          <w:noProof/>
          <w:sz w:val="20"/>
          <w:szCs w:val="20"/>
        </w:rPr>
        <w:t>i sur.,</w:t>
      </w:r>
      <w:r w:rsidR="00A37DE1" w:rsidRPr="00E67E82">
        <w:rPr>
          <w:rStyle w:val="Strong"/>
          <w:b w:val="0"/>
          <w:bCs w:val="0"/>
          <w:noProof/>
          <w:sz w:val="20"/>
          <w:szCs w:val="20"/>
        </w:rPr>
        <w:t xml:space="preserve"> 1992)</w:t>
      </w:r>
      <w:r w:rsidR="00A37DE1" w:rsidRPr="00E67E82">
        <w:rPr>
          <w:rStyle w:val="Strong"/>
          <w:b w:val="0"/>
          <w:bCs w:val="0"/>
          <w:sz w:val="20"/>
          <w:szCs w:val="20"/>
        </w:rPr>
        <w:fldChar w:fldCharType="end"/>
      </w:r>
      <w:r w:rsidR="00A37DE1" w:rsidRPr="00E67E82">
        <w:rPr>
          <w:rStyle w:val="Strong"/>
          <w:b w:val="0"/>
          <w:bCs w:val="0"/>
          <w:sz w:val="20"/>
          <w:szCs w:val="20"/>
        </w:rPr>
        <w:t xml:space="preserve"> te iz humanih fibroblasta stimuliranih TGF-α i TNF-α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{"citationItems":[{"id":"ITEM-1","itemData":{"ISSN":"1550-6606","abstract":"TNF-stimulated gene-1 4 (TSG-14) encodes a secreted glycoprotein with significant sequence homology to C-re-active protein (CRP) and serum amyloid P component (SAP), members of the pentraxin family of acute phase proteins. TSG-14 mRNA was elevated in human FS-4 fibroblasts by treatment with TNF, IL-1 , or bacterial LPS, and weakly by dexamethasone. Abs to recombinant TSG-14 immunoprecipitated a 42-kDa protein from the culture supernatants of TNF-or IL-1-stimulated FS-4 cells. TSG-14 protein was also inducible in the Hep3B human hepatoma cell line by TNF, IL-1, IL-6, or dexamethasone. CRP protein, identified by immunoprecipitation of a 25-kDa band with Abs to CRP, was induced in Hep3B cells by IL-1, IL-6, or dexamethasone. Immunoprecipitations with polyclonal Abs to TSG-14 and CRP suggested that the two proteins are immunologically cross-reactive. Appearance of TSG-14 protein was demonstrated in the serum of mice after injection with LPS. No TSG-14 mRNA was detected in the liver of LPS-injected mice, suggesting that hepatocytes are not the major site of TSG-14 synthesis. Thus, in the intact organism the main cellular sources of TSG-14 and classical acute phase proteins appear to be different.","author":[{"dropping-particle":"","family":"Lee","given":"G W","non-dropping-particle":"","parse-names":false,"suffix":""},{"dropping-particle":"","family":"Goodman","given":"A R","non-dropping-particle":"","parse-names":false,"suffix":""},{"dropping-particle":"","family":"Lee","given":"T H","non-dropping-particle":"","parse-names":false,"suffix":""},{"dropping-particle":"","family":"Vilcek","given":"J","non-dropping-particle":"","parse-names":false,"suffix":""},{"dropping-particle":"","family":"Lee","given":"Gene W","non-dropping-particle":"","parse-names":false,"suffix":""},{"dropping-particle":"","family":"Goodman","given":"Adam R","non-dropping-particle":"","parse-names":false,"suffix":""},{"dropping-particle":"","family":"Lee","given":"Tae H","non-dropping-particle":"","parse-names":false,"suffix":""},{"dropping-particle":"","family":"Vileek4","given":"Jan","non-dropping-particle":"","parse-names":false,"suffix":""}],"container-title":"J Immunol The Journal of Immunology at Nagoya City University on June The Journal of Immunology","id":"ITEM-1","issue":"153","issued":{"date-parts":[["2016"]]},"page":"3700-3707","title":"pentraxin family of major acute phase Relationship of TSG-14 protein to the Relationship of TSG-14 Protein to the Pentraxin Family of Major Acute Phase Proteins'","type":"article-journal","volume":"153"},"uris":["http://www.mendeley.com/documents/?uuid=3cbf5990-69fb-434b-9f0f-b54c6a54f6cf"]}],"mendeley":{"formattedCitation":"(Lee &lt;i&gt;et al.&lt;/i&gt;, 2016)","manualFormatting":"(Lee i sur., 2016)","plainTextFormattedCitation":"(Lee et al., 2016)","previouslyFormattedCitation":"(Lee &lt;i&gt;et al.&lt;/i&gt;, 2016)"},"properties":{"noteIndex":0},"schema":"https://github.com/citation-style-language/schema/raw/master/csl-citation.json"}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(Lee </w:t>
      </w:r>
      <w:r w:rsidR="003F4A87">
        <w:rPr>
          <w:rStyle w:val="Strong"/>
          <w:b w:val="0"/>
          <w:bCs w:val="0"/>
          <w:i/>
          <w:noProof/>
          <w:sz w:val="20"/>
          <w:szCs w:val="20"/>
        </w:rPr>
        <w:t>i sur.,</w:t>
      </w:r>
      <w:r w:rsidR="00A37DE1" w:rsidRPr="00E67E82">
        <w:rPr>
          <w:rStyle w:val="Strong"/>
          <w:b w:val="0"/>
          <w:bCs w:val="0"/>
          <w:noProof/>
          <w:sz w:val="20"/>
          <w:szCs w:val="20"/>
        </w:rPr>
        <w:t xml:space="preserve"> 2016)</w:t>
      </w:r>
      <w:r w:rsidR="00A37DE1" w:rsidRPr="00E67E82">
        <w:rPr>
          <w:rStyle w:val="Strong"/>
          <w:b w:val="0"/>
          <w:bCs w:val="0"/>
          <w:sz w:val="20"/>
          <w:szCs w:val="20"/>
        </w:rPr>
        <w:fldChar w:fldCharType="end"/>
      </w:r>
      <w:r w:rsidR="00A37DE1" w:rsidRPr="00E67E82">
        <w:rPr>
          <w:rStyle w:val="Strong"/>
          <w:b w:val="0"/>
          <w:bCs w:val="0"/>
          <w:sz w:val="20"/>
          <w:szCs w:val="20"/>
        </w:rPr>
        <w:t xml:space="preserve">. Gen za PTX3 lociran je na kromosomu 3q25, za razliku od gena za kratke pentraksine koji su mapirani na kromosomu 1. PTX3 gen sastoji se od triju egzona. Prva dva egzona kodiraju N-terminalnu domenu, dok treći egzon kodira C-terminalnu domenu i odgovara drugom egzonu kratkih pentraksina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{"citationItems":[{"id":"ITEM-1","itemData":{"DOI":"10.1016/j.semarthrit.2008.03.006","ISSN":"00490172","abstract":"Objectives: To review the physiological and physiopathological roles of pentraxin 3 (PTX3), focusing on autoimmunity and vascular pathology. Methods: A systematic literature review using the keywords \"pentraxin 3,\" \"innate immunity,\" \"apoptosis,\" \"autoimmunity,\" and \"endothelial dysfunction\" from 1990 to 2007 was performed. All relevant articles and pertinent secondary references in English were reviewed. Results: PTX3 has a large number of multiple functions in different contexts. PTX3 plays an important role in innate immunity, inflammation, vascular integrity, fertility, pregnancy, and also in the central nervous system. In innate immunity, its normal function is to increase the immune response to selected pathogens while also exerting control over potential autoimmune reactions. It maintains a tightly homeostatic equilibrium in the local immune microenvironment by avoiding an exaggerated immune response and controlling peripheral tolerance to self-antigens. In contrast, in some autoimmune diseases, PTX3 appears to be involved in the development of autoimmune phenomena. A possible explanation for these apparent paradoxical functions may be related to the highly polymorphic PTX3 gene. Conclusion: PTX3 is physiologically a protective molecule. However, in several autoimmune diseases PTX3 appears to facilitate the development of autoimmunity. The PTX3 gene could influence the development of autoimmune reactions and vascular involvement in human pathology. © 2008 Elsevier Inc. All rights reserved.","author":[{"dropping-particle":"","family":"Ortega-Hernandez","given":"Oscar Danilo","non-dropping-particle":"","parse-names":false,"suffix":""},{"dropping-particle":"","family":"Bassi","given":"Nicola","non-dropping-particle":"","parse-names":false,"suffix":""},{"dropping-particle":"","family":"Shoenfeld","given":"Yehuda","non-dropping-particle":"","parse-names":false,"suffix":""},{"dropping-particle":"","family":"Anaya","given":"Juan Manuel","non-dropping-particle":"","parse-names":false,"suffix":""}],"container-title":"Seminars in Arthritis and Rheumatism","id":"ITEM-1","issue":"1","issued":{"date-parts":[["2009"]]},"page":"38-54","publisher":"Elsevier Inc.","title":"The Long Pentraxin 3 and Its Role in Autoimmunity","type":"article-journal","volume":"39"},"uris":["http://www.mendeley.com/documents/?uuid=7e8dca96-1442-4ee1-9421-f79bc429ee86"]}],"mendeley":{"formattedCitation":"(Ortega-Hernandez &lt;i&gt;et al.&lt;/i&gt;, 2009)","manualFormatting":"(Ortega-Hernandez i sur., 2009)","plainTextFormattedCitation":"(Ortega-Hernandez et al., 2009)","previouslyFormattedCitation":"(Ortega-Hernandez &lt;i&gt;et al.&lt;/i&gt;, 2009)"},"properties":{"noteIndex":0},"schema":"https://github.com/citation-style-language/schema/raw/master/csl-citation.json"}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(Ortega-Hernandez </w:t>
      </w:r>
      <w:r w:rsidR="003F4A87">
        <w:rPr>
          <w:rStyle w:val="Strong"/>
          <w:b w:val="0"/>
          <w:bCs w:val="0"/>
          <w:i/>
          <w:noProof/>
          <w:sz w:val="20"/>
          <w:szCs w:val="20"/>
        </w:rPr>
        <w:t>i sur.,</w:t>
      </w:r>
      <w:r w:rsidR="00A37DE1" w:rsidRPr="00E67E82">
        <w:rPr>
          <w:rStyle w:val="Strong"/>
          <w:b w:val="0"/>
          <w:bCs w:val="0"/>
          <w:noProof/>
          <w:sz w:val="20"/>
          <w:szCs w:val="20"/>
        </w:rPr>
        <w:t xml:space="preserve"> 2009)</w:t>
      </w:r>
      <w:r w:rsidR="00A37DE1" w:rsidRPr="00E67E82">
        <w:rPr>
          <w:rStyle w:val="Strong"/>
          <w:b w:val="0"/>
          <w:bCs w:val="0"/>
          <w:sz w:val="20"/>
          <w:szCs w:val="20"/>
        </w:rPr>
        <w:fldChar w:fldCharType="end"/>
      </w:r>
      <w:r w:rsidR="00A37DE1" w:rsidRPr="00E67E82">
        <w:rPr>
          <w:rStyle w:val="Strong"/>
          <w:b w:val="0"/>
          <w:bCs w:val="0"/>
          <w:sz w:val="20"/>
          <w:szCs w:val="20"/>
        </w:rPr>
        <w:t xml:space="preserve">. Ekpresiju PTX3 induciraju proupalni citokini IL-1β i TNF-α, građevne komponente mikroorganizama poput lipopolisaharida i lipoarabinomanana, agonisti Toll-like receptora (TLR), trombin i protuupalni citokin IL-10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{"citationItems":[{"id":"ITEM-1","itemData":{"DOI":"10.1146/annurev-immunol-030409-101305","ISSN":"0732-0582","abstract":"The innate immune system consists of a cellular and a humoral arm. Pentraxins (e.g., the short pentraxin C reactive protein and the long pentraxin PTX3) are key components of the humoral arm of innate immunity which also includes complement components, collectins, and ficolins. In response to microorganisms and tissue damage, neutrophils, macrophages, and dendritic cells are major sources of fluid-phase pattern-recognition molecules (PRMs) belonging to different molecular classes. Humoral PRMs in turn interact with and regulate cellular effectors. Effector mechanisms of the humoral innate immune system include activation and regulation of the complement cascade; agglutination and neutralization; facilitation of recognition via cellular receptors (opsonization); and regulation of inflammation. Thus, the humoral arm of innate immunity is an integrated system consisting of different molecules and sharing functional outputs with antibodies.","author":[{"dropping-particle":"","family":"Bottazzi","given":"Barbara","non-dropping-particle":"","parse-names":false,"suffix":""},{"dropping-particle":"","family":"Doni","given":"Andrea","non-dropping-particle":"","parse-names":false,"suffix":""},{"dropping-particle":"","family":"Garlanda","given":"Cecilia","non-dropping-particle":"","parse-names":false,"suffix":""},{"dropping-particle":"","family":"Mantovani","given":"Alberto","non-dropping-particle":"","parse-names":false,"suffix":""}],"container-title":"Annual Review of Immunology","id":"ITEM-1","issue":"1","issued":{"date-parts":[["2009"]]},"page":"157-183","title":"An Integrated View of Humoral Innate Immunity: Pentraxins as a Paradigm","type":"article-journal","volume":"28"},"uris":["http://www.mendeley.com/documents/?uuid=6594d767-466e-441e-bf44-aee492522b16"]},{"id":"ITEM-2","itemData":{"DOI":"10.1160/TH14-01-0034","ISSN":"03406245","abstract":"Thrombin is essential for blood coagulation but functions also as a mediator of cellular signalling. Gene expression microarray experiments in human monocytes revealed thrombin-induced upregulation of a limited subset of genes, which are almost exclusively involved in inflammation and wound healing. Among these, the expression of F3 gene encoding for tissue factor (TF) was enhanced indicating that this physiological initiator of coagulation cascade may create a feed-forward loop to enhance blood coagulation. Activation of protease-activated receptor type 1 (PAR1) was shown to play a main role in promoting TF expression. Moreover, thrombin induced phosphorylation of ERK1/2, an event that is required for expression of thrombin-regulated genes. Thrombin also increased the expression of TF at the protein level in monocytes as evidenced by Western blot and immunostaining. Furthermore, FXa generation induced by thrombin-stimulated monocytes was abolished by a TF blocking antibody and therefore it is entirely attributable to the expression of tissue factor. This cellular activity of thrombin provides a new molecular link between coagulation, inflammation and wound healing.","author":[{"dropping-particle":"","family":"Lopéz","given":"Mercedes L.","non-dropping-particle":"","parse-names":false,"suffix":""},{"dropping-particle":"","family":"Bruges","given":"Gustavo","non-dropping-particle":"","parse-names":false,"suffix":""},{"dropping-particle":"","family":"Crespo","given":"Gustavo","non-dropping-particle":"","parse-names":false,"suffix":""},{"dropping-particle":"","family":"Salazar","given":"Victor","non-dropping-particle":"","parse-names":false,"suffix":""},{"dropping-particle":"","family":"Deglesne","given":"Pierre Antoine","non-dropping-particle":"","parse-names":false,"suffix":""},{"dropping-particle":"","family":"Schneider","given":"Heike","non-dropping-particle":"","parse-names":false,"suffix":""},{"dropping-particle":"","family":"Cabrera-Fuentes","given":"Hector","non-dropping-particle":"","parse-names":false,"suffix":""},{"dropping-particle":"","family":"Lienhard Schmitz","given":"M.","non-dropping-particle":"","parse-names":false,"suffix":""},{"dropping-particle":"","family":"Preissner","given":"Klaus T.","non-dropping-particle":"","parse-names":false,"suffix":""}],"container-title":"Thrombosis and Haemostasis","id":"ITEM-2","issue":"5","issued":{"date-parts":[["2014"]]},"page":"992-1001","title":"Thrombin selectively induces transcription of genes in human monocytes involved in inflammation and wound healing","type":"article-journal","volume":"112"},"uris":["http://www.mendeley.com/documents/?uuid=b6e4842b-c40f-4bb3-97be-ffdf66d257c2"]},{"id":"ITEM-3","itemData":{"DOI":"10.1189/jlb.0905493","ISSN":"0741-5400","abstract":"The protopypic long pentraxin 3 (PTX3) is a unique, humoral pattern-recognition receptor, which plays a nonredundant function in innate resistance to pathogens. Dendritic cells (DC) of myelomonocytic origin, but not plasmacytoid DC, are a major source of PTX3 in response to Toll-like receptor (TLR) engagement. The present study was designed to explore the regulation of PTX3 production in DC. PTX3 production was induced by TLR ligands, CD40 ligand, and interleukin (IL)-1beta and was suppressed by dexamethasone, 1alpha, 25-dihydroxivitamin D3, and prostaglandin E2. It was unexpected that lipopolysaccharide (LPS)-stimulated PTX3 production was enhanced by IL-10 and inhibited by IL-4 and interferon-gamma (IFN-gamma). Enhancement of PTX3 production by IL-10 was also evident when Pam3 Cys-Ser-(Lys)4.3HCl, a TLR2-TLR1 agonist, polyionisicpolycytidylic acid, a TLR3 agonist, and IL-1beta were used as stimuli. The effect of IL-10 was blocked by an anti-IL-10 monoclonal antibody (mAb) or an anti-IL-10 receptor alpha mAb, which also reduced the LPS-induced production. Thus, production of PTX3 in DC is subjected to a distinct regulatory network, with inhibition by IFN-gamma and enhancement by IL-10. The amplification by IL-10 of production of a nonredundant component of fluid-phase innate immunity mirrors the IL-10 stimulatory function on B cells in adaptive immunity. As PTX3 is also an extracellular matrix component, IL-10-enhanced PTX3 production may play a role in orchestration of tissue remodeling in chronic inflammation.","author":[{"dropping-particle":"","family":"Doni","given":"A.","non-dropping-particle":"","parse-names":false,"suffix":""}],"container-title":"Journal of Leukocyte Biology","id":"ITEM-3","issue":"4","issued":{"date-parts":[["2006"]]},"page":"797-802","title":"Regulation of PTX3, a key component of humoral innate immunity in human dendritic cells: stimulation by IL-10 and inhibition by IFN- ","type":"article-journal","volume":"79"},"uris":["http://www.mendeley.com/documents/?uuid=886eb76b-b519-4701-a9ef-d283cd4b8507"]}],"mendeley":{"formattedCitation":"(Doni, 2006; Bottazzi &lt;i&gt;et al.&lt;/i&gt;, 2009; Lopéz &lt;i&gt;et al.&lt;/i&gt;, 2014)","manualFormatting":"(Doni, 2006; Bottazzi i sur., 2009; Lopéz i sur., 2014)","plainTextFormattedCitation":"(Doni, 2006; Bottazzi et al., 2009; Lopéz et al., 2014)","previouslyFormattedCitation":"(Doni, 2006; Bottazzi &lt;i&gt;et al.&lt;/i&gt;, 2009; Lopéz &lt;i&gt;et al.&lt;/i&gt;, 2014)"},"properties":{"noteIndex":0},"schema":"https://github.com/citation-style-language/schema/raw/master/csl-citation.json"}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(Doni, 2006; Bottazzi </w:t>
      </w:r>
      <w:r w:rsidR="003F4A87">
        <w:rPr>
          <w:rStyle w:val="Strong"/>
          <w:b w:val="0"/>
          <w:bCs w:val="0"/>
          <w:i/>
          <w:noProof/>
          <w:sz w:val="20"/>
          <w:szCs w:val="20"/>
        </w:rPr>
        <w:t>i sur.,</w:t>
      </w:r>
      <w:r w:rsidR="00A37DE1" w:rsidRPr="00E67E82">
        <w:rPr>
          <w:rStyle w:val="Strong"/>
          <w:b w:val="0"/>
          <w:bCs w:val="0"/>
          <w:noProof/>
          <w:sz w:val="20"/>
          <w:szCs w:val="20"/>
        </w:rPr>
        <w:t xml:space="preserve"> 2009; Lopéz </w:t>
      </w:r>
      <w:r w:rsidR="003F4A87">
        <w:rPr>
          <w:rStyle w:val="Strong"/>
          <w:b w:val="0"/>
          <w:bCs w:val="0"/>
          <w:i/>
          <w:noProof/>
          <w:sz w:val="20"/>
          <w:szCs w:val="20"/>
        </w:rPr>
        <w:t>i sur.,</w:t>
      </w:r>
      <w:r w:rsidR="00A37DE1" w:rsidRPr="00E67E82">
        <w:rPr>
          <w:rStyle w:val="Strong"/>
          <w:b w:val="0"/>
          <w:bCs w:val="0"/>
          <w:noProof/>
          <w:sz w:val="20"/>
          <w:szCs w:val="20"/>
        </w:rPr>
        <w:t xml:space="preserve"> 2014)</w:t>
      </w:r>
      <w:r w:rsidR="00A37DE1" w:rsidRPr="00E67E82">
        <w:rPr>
          <w:rStyle w:val="Strong"/>
          <w:b w:val="0"/>
          <w:bCs w:val="0"/>
          <w:sz w:val="20"/>
          <w:szCs w:val="20"/>
        </w:rPr>
        <w:fldChar w:fldCharType="end"/>
      </w:r>
      <w:r w:rsidR="00A37DE1" w:rsidRPr="00E67E82">
        <w:rPr>
          <w:rStyle w:val="Strong"/>
          <w:b w:val="0"/>
          <w:bCs w:val="0"/>
          <w:sz w:val="20"/>
          <w:szCs w:val="20"/>
        </w:rPr>
        <w:t>. Maksimalna ekspresija bilježi se 4 do 6 sati nakon stimulacije. Normalna serumska koncent</w:t>
      </w:r>
      <w:r w:rsidR="008328CA">
        <w:rPr>
          <w:rStyle w:val="Strong"/>
          <w:b w:val="0"/>
          <w:bCs w:val="0"/>
          <w:sz w:val="20"/>
          <w:szCs w:val="20"/>
        </w:rPr>
        <w:t>racija PTX3 je &lt;</w:t>
      </w:r>
      <w:r w:rsidR="00A37DE1" w:rsidRPr="00E67E82">
        <w:rPr>
          <w:rStyle w:val="Strong"/>
          <w:b w:val="0"/>
          <w:bCs w:val="0"/>
          <w:sz w:val="20"/>
          <w:szCs w:val="20"/>
        </w:rPr>
        <w:t xml:space="preserve">2 ng/ml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{"citationItems":[{"id":"ITEM-1","itemData":{"DOI":"10.1515/CCLM.2009.110","ISSN":"14346621","abstract":"The aim of this study was to evaluate the distribution of pentraxin 3 (PTX3) values in healthy subjects and to characterize its relationship with gender, age, body mass index (BMI), lipid profile, and blood sugar levels.","author":[{"dropping-particle":"","family":"Yamasaki","given":"Kazumi","non-dropping-particle":"","parse-names":false,"suffix":""},{"dropping-particle":"","family":"Kurimura","given":"Mayumi","non-dropping-particle":"","parse-names":false,"suffix":""},{"dropping-particle":"","family":"Kasai","given":"Takatoshi","non-dropping-particle":"","parse-names":false,"suffix":""},{"dropping-particle":"","family":"Sagara","given":"Mina","non-dropping-particle":"","parse-names":false,"suffix":""},{"dropping-particle":"","family":"Kodama","given":"Tatsuhiko","non-dropping-particle":"","parse-names":false,"suffix":""},{"dropping-particle":"","family":"Inoue","given":"Kenji","non-dropping-particle":"","parse-names":false,"suffix":""}],"container-title":"Clinical Chemistry and Laboratory Medicine","id":"ITEM-1","issue":"4","issued":{"date-parts":[["2009"]]},"page":"471-477","title":"Determination of physiological plasma pentraxin 3 (PTX3) levels in healthy populations","type":"article-journal","volume":"47"},"uris":["http://www.mendeley.com/documents/?uuid=2e4b6a4f-d7a1-48fa-a754-1fe4e31cbc4b"]}],"mendeley":{"formattedCitation":"(Yamasaki &lt;i&gt;et al.&lt;/i&gt;, 2009)","manualFormatting":"(Yamasaki i sur., 2009)","plainTextFormattedCitation":"(Yamasaki et al., 2009)","previouslyFormattedCitation":"(Yamasaki &lt;i&gt;et al.&lt;/i&gt;, 2009)"},"properties":{"noteIndex":0},"schema":"https://github.com/citation-style-language/schema/raw/master/csl-citation.json"}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(Yamasaki </w:t>
      </w:r>
      <w:r w:rsidR="003F4A87">
        <w:rPr>
          <w:rStyle w:val="Strong"/>
          <w:b w:val="0"/>
          <w:bCs w:val="0"/>
          <w:i/>
          <w:noProof/>
          <w:sz w:val="20"/>
          <w:szCs w:val="20"/>
        </w:rPr>
        <w:t>i sur.,</w:t>
      </w:r>
      <w:r w:rsidR="00A37DE1" w:rsidRPr="00E67E82">
        <w:rPr>
          <w:rStyle w:val="Strong"/>
          <w:b w:val="0"/>
          <w:bCs w:val="0"/>
          <w:noProof/>
          <w:sz w:val="20"/>
          <w:szCs w:val="20"/>
        </w:rPr>
        <w:t xml:space="preserve"> 2009)</w:t>
      </w:r>
      <w:r w:rsidR="00A37DE1" w:rsidRPr="00E67E82">
        <w:rPr>
          <w:rStyle w:val="Strong"/>
          <w:b w:val="0"/>
          <w:bCs w:val="0"/>
          <w:sz w:val="20"/>
          <w:szCs w:val="20"/>
        </w:rPr>
        <w:fldChar w:fldCharType="end"/>
      </w:r>
      <w:r w:rsidR="00A37DE1" w:rsidRPr="00E67E82">
        <w:rPr>
          <w:rStyle w:val="Strong"/>
          <w:b w:val="0"/>
          <w:bCs w:val="0"/>
          <w:sz w:val="20"/>
          <w:szCs w:val="20"/>
        </w:rPr>
        <w:t xml:space="preserve">. Kao i kratki pentraksini, PTX3 se ponaša kao protein odgovora akutne faze te njegova serumska razina brzo i značajno raste u stanjima sepse, endotoksičnog šoka i u  drugim upalnim stanjima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{"citationItems":[{"id":"ITEM-1","itemData":{"DOI":"10.1007/s10875-007-9126-7","ISSN":"02719142","abstract":"Pentraxins are a family of multimeric pattern-recognition proteins highly conserved in evolution. Based on the primary structure of the subunit, the pentraxins are divided into two groups: short pentraxins and long pentraxins. C-reactive protein and serum amyloid P-component are classic short pentraxins produced in the liver, whereas the prototype of the long pentraxin family is PTX3. Innate immunity cells and vascular cells produce PTX3 in response to proinflammatory signals and Toll-like receptor engagement. PTX3 interacts with several ligands, including growth factors, extracellular matrix components, and selected pathogens, playing a role in complement activation, facilitating pathogen recognition, and acting as a predecessor of antibodies. In addition, PTX3 is essential in female fertility acting on the assembly of the cumulus oophorus extracellular matrix. Thus, PTX3 is a multifunctional soluble pattern recognition receptor acting as a nonredundant component of the humoral arm of innate immunity and involved in tuning inflammation, in matrix deposition and female fertility. Evidence suggests that PTX3 is a useful new serological marker, rapidly reflecting tissue inflammation and damage under diverse clinical conditions.","author":[{"dropping-particle":"","family":"Mantovani","given":"Alberto","non-dropping-particle":"","parse-names":false,"suffix":""},{"dropping-particle":"","family":"Garlanda","given":"Cecilia","non-dropping-particle":"","parse-names":false,"suffix":""},{"dropping-particle":"","family":"Doni","given":"Andrea","non-dropping-particle":"","parse-names":false,"suffix":""},{"dropping-particle":"","family":"Bottazzi","given":"Barbara","non-dropping-particle":"","parse-names":false,"suffix":""}],"container-title":"Journal of Clinical Immunology","id":"ITEM-1","issue":"1","issued":{"date-parts":[["2008"]]},"page":"1-13","title":"Pentraxins in innate immunity: From C-reactive protein to the long pentraxin PTX3","type":"article-journal","volume":"28"},"uris":["http://www.mendeley.com/documents/?uuid=bd61c2b3-7f08-4c24-ad48-594823b684a0"]}],"mendeley":{"formattedCitation":"(Mantovani &lt;i&gt;et al.&lt;/i&gt;, 2008)","manualFormatting":"(Mantovani i sur., 2008)","plainTextFormattedCitation":"(Mantovani et al., 2008)","previouslyFormattedCitation":"(Mantovani &lt;i&gt;et al.&lt;/i&gt;, 2008)"},"properties":{"noteIndex":0},"schema":"https://github.com/citation-style-language/schema/raw/master/csl-citation.json"}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(Mantovani </w:t>
      </w:r>
      <w:r w:rsidR="003F4A87">
        <w:rPr>
          <w:rStyle w:val="Strong"/>
          <w:b w:val="0"/>
          <w:bCs w:val="0"/>
          <w:i/>
          <w:noProof/>
          <w:sz w:val="20"/>
          <w:szCs w:val="20"/>
        </w:rPr>
        <w:t>i sur.,</w:t>
      </w:r>
      <w:r w:rsidR="00A37DE1" w:rsidRPr="00E67E82">
        <w:rPr>
          <w:rStyle w:val="Strong"/>
          <w:b w:val="0"/>
          <w:bCs w:val="0"/>
          <w:noProof/>
          <w:sz w:val="20"/>
          <w:szCs w:val="20"/>
        </w:rPr>
        <w:t xml:space="preserve"> 2008)</w:t>
      </w:r>
      <w:r w:rsidR="00A37DE1" w:rsidRPr="00E67E82">
        <w:rPr>
          <w:rStyle w:val="Strong"/>
          <w:b w:val="0"/>
          <w:bCs w:val="0"/>
          <w:sz w:val="20"/>
          <w:szCs w:val="20"/>
        </w:rPr>
        <w:fldChar w:fldCharType="end"/>
      </w:r>
      <w:r w:rsidR="00A37DE1" w:rsidRPr="00E67E82">
        <w:rPr>
          <w:rStyle w:val="Strong"/>
          <w:b w:val="0"/>
          <w:bCs w:val="0"/>
          <w:sz w:val="20"/>
          <w:szCs w:val="20"/>
        </w:rPr>
        <w:t xml:space="preserve">.  Ekspresiju PTX3 suprimiraju IFNγ i glukokortikoidi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{"citationItems":[{"id":"ITEM-1","itemData":{"DOI":"10.1002/(SICI)1521-4141(199802)28:02&lt;496::AID-IMMU496&gt;3.0.CO;2-V","ISSN":"00142980","abstract":"PTX3 is a prototypic long pentraxin expressed by various cell types, most prominently monocytes and endothelial cells, in response to interleukin-1 (IL-1), tumor necrosis factor (TNF) and bacterial products. In the present report, we show that interferon-gamma (IFN-gamma) inhibits the expression of the PTX3 gene induced by exposure to IL-1, TNF or lipopolysaccharide in human monocytes. This effect is dose dependent and observable when IFN-gamma is added from 24 h before up to 3 h after the addition of IL-1. While the time course of the IL-1-induced PTX3 mRNA expression is not affected, IFN-gamma reduces the stability of the PTX3 mRNA as well as its transcription. The inhibition of PTX3 expression is restricted to monocytes in that no inhibition occurs in cytokine-stimulated fibroblasts and endothelial cells. Under the same conditions, as expected, IFN-gamma augmented monocyte chemotactic protein-1 expression in the same cell preparations. PTX3 protein secretion by activated monocytes is also suppressed by exposure to IFN-gamma. Altogether, these data identify a negative pathway of regulation mediated by IFN-gamma, which may occur under inflammatory conditions.","author":[{"dropping-particle":"","family":"Polentarutti","given":"Nadia","non-dropping-particle":"","parse-names":false,"suffix":""},{"dropping-particle":"","family":"Picardi","given":"Giuseppina","non-dropping-particle":"","parse-names":false,"suffix":""},{"dropping-particle":"","family":"Basile","given":"Andrea","non-dropping-particle":"","parse-names":false,"suffix":""},{"dropping-particle":"","family":"Cenzuales","given":"Salvatore","non-dropping-particle":"","parse-names":false,"suffix":""},{"dropping-particle":"","family":"Rivolta","given":"Attilio","non-dropping-particle":"","parse-names":false,"suffix":""},{"dropping-particle":"","family":"Matteucci","given":"Cristian","non-dropping-particle":"","parse-names":false,"suffix":""},{"dropping-particle":"","family":"Peri","given":"Giuseppe","non-dropping-particle":"","parse-names":false,"suffix":""},{"dropping-particle":"","family":"Mantovani","given":"Alberto","non-dropping-particle":"","parse-names":false,"suffix":""},{"dropping-particle":"","family":"Introna","given":"Martino","non-dropping-particle":"","parse-names":false,"suffix":""}],"container-title":"European Journal of Immunology","id":"ITEM-1","issue":"2","issued":{"date-parts":[["1998"]]},"page":"496-501","title":"Interferon-γ inhibits expression of the long pentraxin PTX3 in human monocytes","type":"article-journal","volume":"28"},"uris":["http://www.mendeley.com/documents/?uuid=b3154354-a410-4f09-b096-9fbd8662f590"]},{"id":"ITEM-2","itemData":{"DOI":"10.1074/jbc.M805631200","ISSN":"00219258","abstract":"PTX3 (prototypic long pentraxin 3) is a fluid phase pattern recognition receptor, which plays nonredundant roles in the resistance against diverse pathogens, in the assembly of a hyaluronic acid-rich extracellular matrix, and in female fertility. Inflammatory signals induce production of PTX3 in diverse cell types, including myeloid dendritic cells (DC), fibroblasts, and endothelial cells (EC). The present study was designed to explore the effect of glucocorticoid hormones (GC) on PTX3 production in different cellular contexts. In myeloid DC, GC inhibited the PTX3 production. In contrast, in fibroblasts and EC, GC alone induced and, under inflammatory conditions, enhanced and extended PTX3 production. In vivo administration of GC augmented the blood levels of PTX3 in mice and humans. Moreover, patients with Cushing syndrome had increased levels of circulating PTX3, whereas PTX3 levels were decreased in subjects affected by iatrogenic hypocortisolism. In nonhematopoietic cells, GC receptor (GR) functioned as a ligand-dependent transcription factor (dimerization-dependent) to induce PTX3 gene expression. In contrast, in hematopoietic cells, GR repressed PTX3 gene transcription by interfering (dimerization-independent) with the action of other signaling pathways, probably NFkappaB and AP-1. Thus, divergent effects of GC were found to be due to different GR mechanisms. The results presented here indicate that GC have divergent effects on PTX3 production in hematopoietic (DC and macrophages) and nonhematopoietic (fibroblasts and EC) cells. The divergent effects of GC on PTX3 production probably reflect the different functions of this multifunctional molecule in innate immunity and in the construction of the extracellular matrix.","author":[{"dropping-particle":"","family":"Doni","given":"Andrea","non-dropping-particle":"","parse-names":false,"suffix":""},{"dropping-particle":"","family":"Mantovani","given":"Giovanna","non-dropping-particle":"","parse-names":false,"suffix":""},{"dropping-particle":"","family":"Porta","given":"Chiara","non-dropping-particle":"","parse-names":false,"suffix":""},{"dropping-particle":"","family":"Tuckermann","given":"Jan","non-dropping-particle":"","parse-names":false,"suffix":""},{"dropping-particle":"","family":"Reichardt","given":"Holger M.","non-dropping-particle":"","parse-names":false,"suffix":""},{"dropping-particle":"","family":"Kleiman","given":"Anna","non-dropping-particle":"","parse-names":false,"suffix":""},{"dropping-particle":"","family":"Sironi","given":"Marina","non-dropping-particle":"","parse-names":false,"suffix":""},{"dropping-particle":"","family":"Rubino","given":"Luca","non-dropping-particle":"","parse-names":false,"suffix":""},{"dropping-particle":"","family":"Pasqualini","given":"Fabio","non-dropping-particle":"","parse-names":false,"suffix":""},{"dropping-particle":"","family":"Nebuloni","given":"Manuela","non-dropping-particle":"","parse-names":false,"suffix":""},{"dropping-particle":"","family":"Signorini","given":"Stefano","non-dropping-particle":"","parse-names":false,"suffix":""},{"dropping-particle":"","family":"Peri","given":"Giuseppe","non-dropping-particle":"","parse-names":false,"suffix":""},{"dropping-particle":"","family":"Sica","given":"Antonio","non-dropping-particle":"","parse-names":false,"suffix":""},{"dropping-particle":"","family":"Beck-Peccoz","given":"Paolo","non-dropping-particle":"","parse-names":false,"suffix":""},{"dropping-particle":"","family":"Bottazzi","given":"Barbara","non-dropping-particle":"","parse-names":false,"suffix":""},{"dropping-particle":"","family":"Mantovani","given":"Alberto","non-dropping-particle":"","parse-names":false,"suffix":""}],"container-title":"Journal of Biological Chemistry","id":"ITEM-2","issue":"44","issued":{"date-parts":[["2008"]]},"page":"29983-29992","title":"Cell-specific regulation of PTX3 by glucocorticoid hormones in hematopoietic and nonhematopoietic cells","type":"article-journal","volume":"283"},"uris":["http://www.mendeley.com/documents/?uuid=6e8ce322-d151-447d-9181-97bda572ae2c"]}],"mendeley":{"formattedCitation":"(Polentarutti &lt;i&gt;et al.&lt;/i&gt;, 1998; Doni &lt;i&gt;et al.&lt;/i&gt;, 2008)","manualFormatting":"(Polentarutti i sur., 1998; Doni i sur., 2008)","plainTextFormattedCitation":"(Polentarutti et al., 1998; Doni et al., 2008)","previouslyFormattedCitation":"(Polentarutti &lt;i&gt;et al.&lt;/i&gt;, 1998; Doni &lt;i&gt;et al.&lt;/i&gt;, 2008)"},"properties":{"noteIndex":0},"schema":"https://github.com/citation-style-language/schema/raw/master/csl-citation.json"}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(Polentarutti </w:t>
      </w:r>
      <w:r w:rsidR="003F4A87">
        <w:rPr>
          <w:rStyle w:val="Strong"/>
          <w:b w:val="0"/>
          <w:bCs w:val="0"/>
          <w:i/>
          <w:noProof/>
          <w:sz w:val="20"/>
          <w:szCs w:val="20"/>
        </w:rPr>
        <w:t>i sur.,</w:t>
      </w:r>
      <w:r w:rsidR="00A37DE1" w:rsidRPr="00E67E82">
        <w:rPr>
          <w:rStyle w:val="Strong"/>
          <w:b w:val="0"/>
          <w:bCs w:val="0"/>
          <w:noProof/>
          <w:sz w:val="20"/>
          <w:szCs w:val="20"/>
        </w:rPr>
        <w:t xml:space="preserve"> 1998; Doni </w:t>
      </w:r>
      <w:r w:rsidR="003F4A87">
        <w:rPr>
          <w:rStyle w:val="Strong"/>
          <w:b w:val="0"/>
          <w:bCs w:val="0"/>
          <w:i/>
          <w:noProof/>
          <w:sz w:val="20"/>
          <w:szCs w:val="20"/>
        </w:rPr>
        <w:t>i sur.,</w:t>
      </w:r>
      <w:r w:rsidR="00A37DE1" w:rsidRPr="00E67E82">
        <w:rPr>
          <w:rStyle w:val="Strong"/>
          <w:b w:val="0"/>
          <w:bCs w:val="0"/>
          <w:noProof/>
          <w:sz w:val="20"/>
          <w:szCs w:val="20"/>
        </w:rPr>
        <w:t xml:space="preserve"> 2008)</w:t>
      </w:r>
      <w:r w:rsidR="00A37DE1" w:rsidRPr="00E67E82">
        <w:rPr>
          <w:rStyle w:val="Strong"/>
          <w:b w:val="0"/>
          <w:bCs w:val="0"/>
          <w:sz w:val="20"/>
          <w:szCs w:val="20"/>
        </w:rPr>
        <w:fldChar w:fldCharType="end"/>
      </w:r>
      <w:r w:rsidR="00A37DE1" w:rsidRPr="00E67E82">
        <w:rPr>
          <w:rStyle w:val="Strong"/>
          <w:b w:val="0"/>
          <w:bCs w:val="0"/>
          <w:sz w:val="20"/>
          <w:szCs w:val="20"/>
        </w:rPr>
        <w:t xml:space="preserve">. Za razliku od kratkih pentraksina koji se sintetiziraju u hepatocitima, PTX3 sintetizira se lokalno na mjestu upale u različitim tipovima stanica uključujući makrofage i fibroblaste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{"citationItems":[{"id":"ITEM-1","itemData":{"DOI":"10.1002/jlb.67.3.387","ISSN":"07415400","abstract":"Tumor necrosis factor (TNF)-stimulated gene 14 (TSG-14, also termed PTX3) encodes a secreted glycoprotein whose carboxy-terminal half shares sequence similarity with the pentraxin family of acute phase proteins (C-reactive protein and serum amyloid P component). We compared TSG-14 mRNA expression in cultures of murine BALB/c 3T3 fibroblasts and thioglycollate-elicited peritoneal macrophages. TNF and interleukin-1 (IL-1) potently induced TSG-14 expression in 3T3 fibroblasts but not in peritoneal macrophages. Lipopolysaccharide (LPS) elicited TSG-14 expression in both cell types, but induction in 3T3 cells and macrophages showed several distinct characteristics. Whereas in 3T3 fibroblasts TSG-14 mRNA was rapidly up-regulated by LPS, expression in macrophages was substantially delayed. Furthermore, cycloheximide greatly reduced LPS-induced TSG-14 mRNA up-regulation in macrophages but not in 3T3 cells. Finally, interferon-gamma (IFN-gamma; but not IFN-alpha/beta) inhibited LPS-induced TSG-14 expression in macrophages and not in 3T3 fibroblasts. The antioxidant pyrrolidine dithiocarbamate inhibited LPS-induced nuclear factor-kappaB (NF-kappaB) activation and TSG-14 expression in macrophages. In contrast, IFN-gamma did not inhibit NF-kappaB function as measured by IkappaB-alpha and IkappaB-beta degradation, IkappaB-alpha resynthesis, or electrophoretic mobility shift analysis. Inhibition of LPS-induced TSG-14 mRNA expression by IFN-gamma in macrophages was also observed in the presence of cycloheximide and in cells from STAT1 null mice, suggesting that IFN-gamma inhibits TSG-14 expression through an unconventional mechanism","author":[{"dropping-particle":"","family":"Goodman","given":"A. R.","non-dropping-particle":"","parse-names":false,"suffix":""},{"dropping-particle":"","family":"Levy","given":"D. E.","non-dropping-particle":"","parse-names":false,"suffix":""},{"dropping-particle":"","family":"Reis","given":"L. F.L.","non-dropping-particle":"","parse-names":false,"suffix":""},{"dropping-particle":"","family":"Vilcek","given":"J.","non-dropping-particle":"","parse-names":false,"suffix":""}],"container-title":"Journal of Leukocyte Biology","id":"ITEM-1","issue":"3","issued":{"date-parts":[["2000"]]},"page":"387-395","title":"Differential regulation of TSG-14 expression in murine fibroblasts and peritoneal macrophages","type":"article-journal","volume":"67"},"uris":["http://www.mendeley.com/documents/?uuid=ff9afe61-0706-4297-a11e-544317b25746"]}],"mendeley":{"formattedCitation":"(Goodman &lt;i&gt;et al.&lt;/i&gt;, 2000)","manualFormatting":"(Goodman i sur., 2000)","plainTextFormattedCitation":"(Goodman et al., 2000)","previouslyFormattedCitation":"(Goodman &lt;i&gt;et al.&lt;/i&gt;, 2000)"},"properties":{"noteIndex":0},"schema":"https://github.com/citation-style-language/schema/raw/master/csl-citation.json"}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(Goodman </w:t>
      </w:r>
      <w:r w:rsidR="003F4A87">
        <w:rPr>
          <w:rStyle w:val="Strong"/>
          <w:b w:val="0"/>
          <w:bCs w:val="0"/>
          <w:i/>
          <w:noProof/>
          <w:sz w:val="20"/>
          <w:szCs w:val="20"/>
        </w:rPr>
        <w:t>i sur.,</w:t>
      </w:r>
      <w:r w:rsidR="00A37DE1" w:rsidRPr="00E67E82">
        <w:rPr>
          <w:rStyle w:val="Strong"/>
          <w:b w:val="0"/>
          <w:bCs w:val="0"/>
          <w:noProof/>
          <w:sz w:val="20"/>
          <w:szCs w:val="20"/>
        </w:rPr>
        <w:t xml:space="preserve"> 2000)</w:t>
      </w:r>
      <w:r w:rsidR="00A37DE1" w:rsidRPr="00E67E82">
        <w:rPr>
          <w:rStyle w:val="Strong"/>
          <w:b w:val="0"/>
          <w:bCs w:val="0"/>
          <w:sz w:val="20"/>
          <w:szCs w:val="20"/>
        </w:rPr>
        <w:fldChar w:fldCharType="end"/>
      </w:r>
      <w:r w:rsidR="00A37DE1" w:rsidRPr="00E67E82">
        <w:rPr>
          <w:rStyle w:val="Strong"/>
          <w:b w:val="0"/>
          <w:bCs w:val="0"/>
          <w:sz w:val="20"/>
          <w:szCs w:val="20"/>
        </w:rPr>
        <w:t xml:space="preserve">, dendritičke stanice </w:t>
      </w:r>
      <w:r w:rsidR="00A37DE1" w:rsidRPr="00E67E82">
        <w:rPr>
          <w:rStyle w:val="Strong"/>
          <w:b w:val="0"/>
          <w:bCs w:val="0"/>
          <w:sz w:val="20"/>
          <w:szCs w:val="20"/>
        </w:rPr>
        <w:fldChar w:fldCharType="begin" w:fldLock="1"/>
      </w:r>
      <w:r w:rsidR="00A37DE1" w:rsidRPr="00E67E82">
        <w:rPr>
          <w:rStyle w:val="Strong"/>
          <w:b w:val="0"/>
          <w:bCs w:val="0"/>
          <w:sz w:val="20"/>
          <w:szCs w:val="20"/>
        </w:rPr>
        <w:instrText>ADDIN CSL_CITATION {"citationItems":[{"id":"ITEM-1","itemData":{"DOI":"10.1189/jlb.0905493","ISSN":"0741-5400","abstract":"The protopypic long pentraxin 3 (PTX3) is a unique, humoral pattern-recognition receptor, which plays a nonredundant function in innate resistance to pathogens. Dendritic cells (DC) of myelomonocytic origin, but not plasmacytoid DC, are a major source of PTX3 in response to Toll-like receptor (TLR) engagement. The present study was designed to explore the regulation of PTX3 production in DC. PTX3 production was induced by TLR ligands, CD40 ligand, and interleukin (IL)-1beta and was suppressed by dexamethasone, 1alpha, 25-dihydroxivitamin D3, and prostaglandin E2. It was unexpected that lipopolysaccharide (LPS)-stimulated PTX3 production was enhanced by IL-10 and inhibited by IL-4 and interferon-gamma (IFN-gamma). Enhancement of PTX3 production by IL-10 was also evident when Pam3 Cys-Ser-(Lys)4.3HCl, a TLR2-TLR1 agonist, polyionisicpolycytidylic acid, a TLR3 agonist, and IL-1beta were used as stimuli. The effect of IL-10 was blocked by an anti-IL-10 monoclonal antibody (mAb) or an anti-IL-10 receptor alpha mAb, which also reduced the LPS-induced production. Thus, production of PTX3 in DC is subjected to a distinct regulatory network, with inhibition by IFN-gamma and enhancement by IL-10. The amplification by IL-10 of production of a nonredundant component of fluid-phase innate immunity mirrors the IL-10 stimulatory function on B cells in adaptive immunity. As PTX3 is also an extracellular matrix component, IL-10-enhanced PTX3 production may play a role in orchestration of tissue remodeling in chronic inflammation.","author":[{"dropping-particle":"","family":"Doni","given":"A.","non-dropping-particle":"","parse-names":false,"suffix":""}],"container-title":"Journal of Leukocyte Biology","id":"ITEM-1","issue":"4","issued":{"date-parts":[["2006"]]},"page":"797-802","title":"Regulation of PTX3, a key component of humoral innate immunity in human dendritic cells: stimulation by IL-10 and inhibition by IFN- ","type":"article-journal","volume":"79"},"uris":["http://www.mendeley.com/documents/?uuid=886eb76b-b519-4701-a9ef-d283cd4b8507"]}],"mendeley":{"formattedCitation":"(Doni, 2006)","plainTextFormattedCitation":"(Doni, 2006)","previouslyFormattedCitation":"(Doni, 2006)"},"properties":{"noteIndex":0},"schema":"https://github.com/citation-style-language/schema/raw/master/csl-citation.json"}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(Doni, 2006)</w:t>
      </w:r>
      <w:r w:rsidR="00A37DE1" w:rsidRPr="00E67E82">
        <w:rPr>
          <w:rStyle w:val="Strong"/>
          <w:b w:val="0"/>
          <w:bCs w:val="0"/>
          <w:sz w:val="20"/>
          <w:szCs w:val="20"/>
        </w:rPr>
        <w:fldChar w:fldCharType="end"/>
      </w:r>
      <w:r w:rsidR="00A37DE1" w:rsidRPr="00E67E82">
        <w:rPr>
          <w:rStyle w:val="Strong"/>
          <w:b w:val="0"/>
          <w:bCs w:val="0"/>
          <w:sz w:val="20"/>
          <w:szCs w:val="20"/>
        </w:rPr>
        <w:t xml:space="preserve">, glatke mišićne stanice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{"citationItems":[{"id":"ITEM-1","itemData":{"DOI":"10.1016/j.atherosclerosis.2004.03.020","ISSN":"00219150","abstract":"Inflammation is a critical contributing factor to the development and the progression of atherosclerosis. Recently, the acute-phase protein pentraxin-3 (PTX3), which has C-terminal sequence homology with the classic pentraxin C-reactive protein (CRP), was described to be increased in patients with myocardial infarction. In this study, we have investigated the capacity of human primary vascular smooth muscle cells (VSMC), derived from arterial specimens of ten different patients, to express PTX3 after incubation with atherogenic lipoproteins. Enzymatically degraded LDL (E-LDL), which is present in human early lesions, mediated a rapid cholesterol loading and foam cell transformation of primary VSMC, which was paralleled by a marked dose- and time-dependent expression of PTX3 mRNA and release of the acute-phase protein. Expression of PTX3 mRNA was delayed and remained almost undetectable for up to 6 h of incubation with E-LDL. However, during extended exposure to E-LDL for more than 24 h, PTX3 mRNA expression increased by more than 15-fold in VSMC foam cells, which was reflected by a concomitant release of up to 211 ng/ml PTX3 protein. We provide evidence for marked expression of PTX3 by VSMC induced by degraded lipoproteins, which may lead to an in situ vascular acute-phase reaction, contributing to the inflammatory pathogenesis of atherosclerosis. © 2004 Elsevier Ireland Ltd. All rights reserved.","author":[{"dropping-particle":"","family":"Klouche","given":"Mariam","non-dropping-particle":"","parse-names":false,"suffix":""},{"dropping-particle":"","family":"Peri","given":"Giuseppe","non-dropping-particle":"","parse-names":false,"suffix":""},{"dropping-particle":"","family":"Knabbe","given":"Cornelius","non-dropping-particle":"","parse-names":false,"suffix":""},{"dropping-particle":"","family":"Eckstein","given":"Hanns Henning","non-dropping-particle":"","parse-names":false,"suffix":""},{"dropping-particle":"","family":"Schmid","given":"Franz Xaver","non-dropping-particle":"","parse-names":false,"suffix":""},{"dropping-particle":"","family":"Schmitz","given":"Gerd","non-dropping-particle":"","parse-names":false,"suffix":""},{"dropping-particle":"","family":"Mantovani","given":"Alberto","non-dropping-particle":"","parse-names":false,"suffix":""}],"container-title":"Atherosclerosis","id":"ITEM-1","issue":"2","issued":{"date-parts":[["2004"]]},"page":"221-228","title":"Modified atherogenic lipoproteins induce expression of pentraxin-3 by human vascular smooth muscle cells","type":"article-journal","volume":"175"},"uris":["http://www.mendeley.com/documents/?uuid=86d65e03-f764-47c6-8b26-d754049c86df"]}],"mendeley":{"formattedCitation":"(Klouche &lt;i&gt;et al.&lt;/i&gt;, 2004)","manualFormatting":"(Klouche i sur., 2004)","plainTextFormattedCitation":"(Klouche et al., 2004)","previouslyFormattedCitation":"(Klouche &lt;i&gt;et al.&lt;/i&gt;, 2004)"},"properties":{"noteIndex":0},"schema":"https://github.com/citation-style-language/schema/raw/master/csl-citation.json"}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(Klouche </w:t>
      </w:r>
      <w:r w:rsidR="003F4A87">
        <w:rPr>
          <w:rStyle w:val="Strong"/>
          <w:b w:val="0"/>
          <w:bCs w:val="0"/>
          <w:i/>
          <w:noProof/>
          <w:sz w:val="20"/>
          <w:szCs w:val="20"/>
        </w:rPr>
        <w:t>i sur.,</w:t>
      </w:r>
      <w:r w:rsidR="00A37DE1" w:rsidRPr="00E67E82">
        <w:rPr>
          <w:rStyle w:val="Strong"/>
          <w:b w:val="0"/>
          <w:bCs w:val="0"/>
          <w:noProof/>
          <w:sz w:val="20"/>
          <w:szCs w:val="20"/>
        </w:rPr>
        <w:t xml:space="preserve"> 2004)</w:t>
      </w:r>
      <w:r w:rsidR="00A37DE1" w:rsidRPr="00E67E82">
        <w:rPr>
          <w:rStyle w:val="Strong"/>
          <w:b w:val="0"/>
          <w:bCs w:val="0"/>
          <w:sz w:val="20"/>
          <w:szCs w:val="20"/>
        </w:rPr>
        <w:fldChar w:fldCharType="end"/>
      </w:r>
      <w:r w:rsidR="00A37DE1" w:rsidRPr="00E67E82">
        <w:rPr>
          <w:rStyle w:val="Strong"/>
          <w:b w:val="0"/>
          <w:bCs w:val="0"/>
          <w:sz w:val="20"/>
          <w:szCs w:val="20"/>
        </w:rPr>
        <w:t xml:space="preserve">, adipocite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{"citationItems":[{"id":"ITEM-1","itemData":{"DOI":"10.1194/jlr.m200382-jlr200","ISSN":"0022-2275","abstract":"Exposure of preadipocytes to long-chain fatty acids induces the expression of several markers of adipocyte differentiation. In an attempt to identify novel genes and proteins that are regulated by fatty acids in preadipocytes, we performed a substractive hybridization screening and identified PTX3, a protein of the pentraxin family. PTX3 mRNA expression is transient during adipocyte differentiation of clonal cell lines and is absent in fully differentiated cells. Stable overexpression of PTX3 in preadipocytes has no effect on adipocyte differentiation. In line with this, PTX3 mRNA is expressed in the stromal-vascular fraction of adipose tissue, but not in the adipocyte fraction; however, in 3T3-F442A adipocytes, the PTX3 gene can be reinduced by tumor necrosis factor alpha (TNFalpha) in a dose-dependent manner. This effect is accompanied by PTX3 protein secretion from both 3T3-F442A adipocytes and explants of mouse adipose tissue. PTX3 mRNA levels are found to be higher in adipose tissue of genetically obese mice versus control mice, consistent with their increased TNFalpha levels. In conclusion, PTX3 appears as a TNFalpha-induced protein that provides a new link between chronic low-level inflammatory state and obesity.","author":[{"dropping-particle":"","family":"Abderrahim-Ferkoune","given":"Anissa","non-dropping-particle":"","parse-names":false,"suffix":""},{"dropping-particle":"","family":"Bezy","given":"Olivier","non-dropping-particle":"","parse-names":false,"suffix":""},{"dropping-particle":"","family":"Chiellini","given":"Chiara","non-dropping-particle":"","parse-names":false,"suffix":""},{"dropping-particle":"","family":"Maffei","given":"Margherita","non-dropping-particle":"","parse-names":false,"suffix":""},{"dropping-particle":"","family":"Grimaldi","given":"Paul","non-dropping-particle":"","parse-names":false,"suffix":""},{"dropping-particle":"","family":"Bonino","given":"Frédéric","non-dropping-particle":"","parse-names":false,"suffix":""},{"dropping-particle":"","family":"Moustaid-Moussa","given":"Naïma","non-dropping-particle":"","parse-names":false,"suffix":""},{"dropping-particle":"","family":"Pasqualini","given":"Fabio","non-dropping-particle":"","parse-names":false,"suffix":""},{"dropping-particle":"","family":"Mantovani","given":"Alberto","non-dropping-particle":"","parse-names":false,"suffix":""},{"dropping-particle":"","family":"Ailhaud","given":"Gérard","non-dropping-particle":"","parse-names":false,"suffix":""},{"dropping-particle":"","family":"Amri","given":"Ez-Zoubir","non-dropping-particle":"","parse-names":false,"suffix":""}],"container-title":"Journal of Lipid Research","id":"ITEM-1","issue":"5","issued":{"date-parts":[["2003"]]},"page":"994-1000","title":"Characterization of the long pentraxin PTX3 as a TNFα-induced secreted protein of adipose cells","type":"article-journal","volume":"44"},"uris":["http://www.mendeley.com/documents/?uuid=0e926b25-18a8-4e5e-891b-e2b640f44d28"]}],"mendeley":{"formattedCitation":"(Abderrahim-Ferkoune &lt;i&gt;et al.&lt;/i&gt;, 2003)","manualFormatting":"(Abderrahim-Ferkoune i sur., 2003)","plainTextFormattedCitation":"(Abderrahim-Ferkoune et al., 2003)","previouslyFormattedCitation":"(Abderrahim-Ferkoune &lt;i&gt;et al.&lt;/i&gt;, 2003)"},"properties":{"noteIndex":0},"schema":"https://github.com/citation-style-language/schema/raw/master/csl-citation.json"}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(Abderrahim-Ferkoune </w:t>
      </w:r>
      <w:r w:rsidR="003F4A87">
        <w:rPr>
          <w:rStyle w:val="Strong"/>
          <w:b w:val="0"/>
          <w:bCs w:val="0"/>
          <w:i/>
          <w:noProof/>
          <w:sz w:val="20"/>
          <w:szCs w:val="20"/>
        </w:rPr>
        <w:t>i sur.,</w:t>
      </w:r>
      <w:r w:rsidR="00A37DE1" w:rsidRPr="00E67E82">
        <w:rPr>
          <w:rStyle w:val="Strong"/>
          <w:b w:val="0"/>
          <w:bCs w:val="0"/>
          <w:noProof/>
          <w:sz w:val="20"/>
          <w:szCs w:val="20"/>
        </w:rPr>
        <w:t xml:space="preserve"> 2003)</w:t>
      </w:r>
      <w:r w:rsidR="00A37DE1" w:rsidRPr="00E67E82">
        <w:rPr>
          <w:rStyle w:val="Strong"/>
          <w:b w:val="0"/>
          <w:bCs w:val="0"/>
          <w:sz w:val="20"/>
          <w:szCs w:val="20"/>
        </w:rPr>
        <w:fldChar w:fldCharType="end"/>
      </w:r>
      <w:r w:rsidR="00A37DE1" w:rsidRPr="00E67E82">
        <w:rPr>
          <w:rStyle w:val="Strong"/>
          <w:b w:val="0"/>
          <w:bCs w:val="0"/>
          <w:sz w:val="20"/>
          <w:szCs w:val="20"/>
        </w:rPr>
        <w:t xml:space="preserve">, endotelne stanice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{"citationItems":[{"id":"ITEM-1","itemData":{"PMID":"1429570","abstract":"Sphingolipid metabolites participate in key events of signal transduction and cell regulation. In the sphingomyelin cycle, a number of extracellular agents and insults (such as tumor necrosis factor, Fas ligands, and chemotherapeutic agents) cause the activation of sphingomyelinases, which act on membrane sphingomyelin and release ceramide. Multiple experimental approaches suggest an important role for ceramide in regulating such diverse responses as cell cycle arrest, apoptosis, and cell senescence. In vitro, ceramide activates a serine-threonine protein phosphatase, and in cells it regulates protein phosphorylation as well as multiple downstream targets such as interleukin converting enzyme (ICE)-like proteases, stress-activated protein kinases, and the retinoblastoma gene product that mediate its distinct cellular effects. This spectrum of inducers of ceramide accumulation and the nature of ceramide-mediated responses suggest that ceramide is a key component of intracellular stress response pathways.","author":[{"dropping-particle":"","family":"Breviario","given":"Ferruccio","non-dropping-particle":"","parse-names":false,"suffix":""},{"dropping-particle":"","family":"Aniello","given":"Elisabetta M","non-dropping-particle":"","parse-names":false,"suffix":""},{"dropping-particle":"","family":"Golay","given":"Josee","non-dropping-particle":"","parse-names":false,"suffix":""},{"dropping-particle":"","family":"Peri","given":"Giuseppe","non-dropping-particle":"","parse-names":false,"suffix":""},{"dropping-particle":"","family":"Bottazzi","given":"Barbara","non-dropping-particle":"","parse-names":false,"suffix":""},{"dropping-particle":"","family":"Bairoch","given":"Amos","non-dropping-particle":"","parse-names":false,"suffix":""},{"dropping-particle":"","family":"Saccone","given":"Salvatore","non-dropping-particle":"","parse-names":false,"suffix":""},{"dropping-particle":"","family":"Marzella","given":"Rosalia","non-dropping-particle":"","parse-names":false,"suffix":""},{"dropping-particle":"","family":"Predazzi","given":"Valentina","non-dropping-particle":"","parse-names":false,"suffix":""},{"dropping-particle":"","family":"Rocchi","given":"Mariano","non-dropping-particle":"","parse-names":false,"suffix":""},{"dropping-particle":"Della","family":"Valle","given":"Giuliano","non-dropping-particle":"","parse-names":false,"suffix":""},{"dropping-particle":"","family":"Dejana","given":"Elisabetta","non-dropping-particle":"","parse-names":false,"suffix":""},{"dropping-particle":"","family":"Mantovani","given":"Alberto","non-dropping-particle":"","parse-names":false,"suffix":""},{"dropping-particle":"","family":"Introna","given":"Martino","non-dropping-particle":"","parse-names":false,"suffix":""}],"container-title":"The Journal of Biological Chemistry","id":"ITEM-1","issue":"31","issued":{"date-parts":[["1992"]]},"page":"22190-22197","title":"Interleukin-1-inducible genes in endothelial cells","type":"article-journal","volume":"267"},"uris":["http://www.mendeley.com/documents/?uuid=21528fd4-a61b-4a4f-b7cd-3effe1175129"]}],"mendeley":{"formattedCitation":"(Breviario &lt;i&gt;et al.&lt;/i&gt;, 1992)","manualFormatting":"(Breviario i sur., 1992)","plainTextFormattedCitation":"(Breviario et al., 1992)","previouslyFormattedCitation":"(Breviario &lt;i&gt;et al.&lt;/i&gt;, 1992)"},"properties":{"noteIndex":0},"schema":"https://github.com/citation-style-language/schema/raw/master/csl-citation.json"}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(Breviario </w:t>
      </w:r>
      <w:r w:rsidR="003F4A87">
        <w:rPr>
          <w:rStyle w:val="Strong"/>
          <w:b w:val="0"/>
          <w:bCs w:val="0"/>
          <w:i/>
          <w:noProof/>
          <w:sz w:val="20"/>
          <w:szCs w:val="20"/>
        </w:rPr>
        <w:t>i sur.,</w:t>
      </w:r>
      <w:r w:rsidR="00A37DE1" w:rsidRPr="00E67E82">
        <w:rPr>
          <w:rStyle w:val="Strong"/>
          <w:b w:val="0"/>
          <w:bCs w:val="0"/>
          <w:noProof/>
          <w:sz w:val="20"/>
          <w:szCs w:val="20"/>
        </w:rPr>
        <w:t xml:space="preserve"> 1992)</w:t>
      </w:r>
      <w:r w:rsidR="00A37DE1" w:rsidRPr="00E67E82">
        <w:rPr>
          <w:rStyle w:val="Strong"/>
          <w:b w:val="0"/>
          <w:bCs w:val="0"/>
          <w:sz w:val="20"/>
          <w:szCs w:val="20"/>
        </w:rPr>
        <w:fldChar w:fldCharType="end"/>
      </w:r>
      <w:r w:rsidR="00A37DE1" w:rsidRPr="00E67E82">
        <w:rPr>
          <w:rStyle w:val="Strong"/>
          <w:b w:val="0"/>
          <w:bCs w:val="0"/>
          <w:sz w:val="20"/>
          <w:szCs w:val="20"/>
        </w:rPr>
        <w:t xml:space="preserve"> te epitelne stanice bubrega i pluća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{"citationItems":[{"id":"ITEM-1","itemData":{"DOI":"10.1111/j.1523-1755.2005.67111.x","ISSN":"00852538","abstract":"BACKGROUND: Pentraxin 3 (PTX3) is a prototypic long pentraxin with structural similarities in the C-terminal domain to the classical short pentraxins C-reactive protein (CRP) and serum amyloid P component. PTX3 is suggested to play an important role in the innate resistance against pathogens, regulation of inflammatory reactions, and clearance of apoptotic cells. Unlike the classic pentraxins, PTX3 is mainly expressed extrahepatically. The present study was designed to investigate the expression of PTX3 by human proximal renal tubular epithelial cells (PTECs).\\n\\nMETHODS: PTECs were cultured in the presence or absence of inflammatory cytokines. PTX3 mRNA expression was measured by reverse transcription-polymerase chain reaction (RT-PCR) in human kidney and PTECs. PTX3 protein levels in PTEC cultures were quantified by enzyme-linked immunosorbent assay (ELISA).\\n\\nRESULTS: PTX3 mRNA was shown to be constitutively expressed in human kidney. Constitutive expression and production of PTX3 was shown in primary mesangial cells, in primary PTECs, and in renal fibroblasts. Further analysis showed that interleukin (IL)-1 and tumor necrosis factor-alpha (TNF-alpha) stimulation strongly enhanced the expression and production of PTX3 in PTECs in a dose- and time-dependent manner. In addition, activation of PTECs with IL-17 and CD40L, respectively, but not with IL-6 or IL-4, resulted in strongly increased production of PTX3, whereas granulocyte macrophage-colony-stimulating factor (GM-CSF) inhibited IL-1-induced PTX3 production. PTX3 produced by PTEC is functionally active in binding C1q.\\n\\nCONCLUSION: These results indicate that PTX3 is expressed and released by PTECs and that in proinflammatory conditions PTX3 production is up-regulated. Local expression of PTX3 may play a role in the innate immune response and inflammatory reactions in the kidney.","author":[{"dropping-particle":"","family":"Nauta","given":"Alma J.","non-dropping-particle":"","parse-names":false,"suffix":""},{"dropping-particle":"","family":"Haij","given":"Simone","non-dropping-particle":"De","parse-names":false,"suffix":""},{"dropping-particle":"","family":"Bottazzi","given":"Barbara","non-dropping-particle":"","parse-names":false,"suffix":""},{"dropping-particle":"","family":"Mantovani","given":"Alberto","non-dropping-particle":"","parse-names":false,"suffix":""},{"dropping-particle":"","family":"Borrias","given":"Maria C.","non-dropping-particle":"","parse-names":false,"suffix":""},{"dropping-particle":"","family":"Aten","given":"Jan","non-dropping-particle":"","parse-names":false,"suffix":""},{"dropping-particle":"","family":"Rastaldi","given":"Maria Pia","non-dropping-particle":"","parse-names":false,"suffix":""},{"dropping-particle":"","family":"Daha","given":"Mohamed R.","non-dropping-particle":"","parse-names":false,"suffix":""},{"dropping-particle":"","family":"Kooten","given":"Cees","non-dropping-particle":"Van","parse-names":false,"suffix":""},{"dropping-particle":"","family":"Roos","given":"Anja","non-dropping-particle":"","parse-names":false,"suffix":""}],"container-title":"Kidney International","id":"ITEM-1","issue":"2","issued":{"date-parts":[["2005"]]},"page":"543-553","title":"Human renal epithelial cells produce the long pentraxin PTX3","type":"article-journal","volume":"67"},"uris":["http://www.mendeley.com/documents/?uuid=6d233335-64f8-407f-8300-21a6c315de1b"]},{"id":"ITEM-2","itemData":{"DOI":"10.4049/jimmunol.175.12.8303","ISSN":"0022-1767","abstract":"Long pentraxin 3 (PTX3), an acute-phase protein, is a newly clarified mediator for innate immunity and inflammation. As a soluble pattern recognition receptor, it has a nonredundant role in antifungal infection. Overexpression of PTX3 worsens acute lung injury. The lung epithelium is a critical factor in defense against pulmonary pathogens; it is also involved in acute inflammatory responses related to tissue injury. However, very little is known about how PTX3 is regulated in the lung epithelium. In this study, we found that i.v. injection of LPS induced PTX3 expression in rat lung alveolar epithelium. Using human lung cell lines and primary epithelial cells, we found that PTX3 expression was significantly up-regulated by TNF-alpha in a time- and dose-dependent manner, but not by LPS. Pretreatment with either actinomycin D or cycloheximide abolished TNF-alpha-induced PTX3 expression, indicating the requirement for both transcriptional and translational regulation. The TNF-alpha-induced PTX3 expression was blocked by SP600125, a JNK-specific inhibitor, but not by the inhibitors against NF-kappaB, ERKs, or p38 MAPK. Knockdown of either JNK1 or JNK2 with small interfering RNA also significantly reduced the regulated PTX3 expression. Thus, lung epithelial cells appear to be a major local source for PTX3 production, which could be induced in vivo from these cells by LPS or other inflammatory stimuli, and may be an important mediator for host defense and tissue damage. The importance of the JNK pathway for the regulated PTX3 expression may be a potential target for its regulation in the lung.","author":[{"dropping-particle":"","family":"Han","given":"B.","non-dropping-particle":"","parse-names":false,"suffix":""},{"dropping-particle":"","family":"Mura","given":"M.","non-dropping-particle":"","parse-names":false,"suffix":""},{"dropping-particle":"","family":"Andrade","given":"C. F.","non-dropping-particle":"","parse-names":false,"suffix":""},{"dropping-particle":"","family":"Okutani","given":"D.","non-dropping-particle":"","parse-names":false,"suffix":""},{"dropping-particle":"","family":"Lodyga","given":"M.","non-dropping-particle":"","parse-names":false,"suffix":""},{"dropping-particle":"","family":"Santos","given":"C. C.","non-dropping-particle":"dos","parse-names":false,"suffix":""},{"dropping-particle":"","family":"Keshavjee","given":"S.","non-dropping-particle":"","parse-names":false,"suffix":""},{"dropping-particle":"","family":"Matthay","given":"M.","non-dropping-particle":"","parse-names":false,"suffix":""},{"dropping-particle":"","family":"Liu","given":"M.","non-dropping-particle":"","parse-names":false,"suffix":""}],"container-title":"The Journal of Immunology","id":"ITEM-2","issue":"12","issued":{"date-parts":[["2014"]]},"page":"8303-8311","title":"TNF -Induced Long Pentraxin PTX3 Expression in Human Lung Epithelial Cells via JNK","type":"article-journal","volume":"175"},"uris":["http://www.mendeley.com/documents/?uuid=6019edf3-c61f-4ec3-bcd7-4b52df8b5586"]}],"mendeley":{"formattedCitation":"(Nauta &lt;i&gt;et al.&lt;/i&gt;, 2005; Han &lt;i&gt;et al.&lt;/i&gt;, 2014)","manualFormatting":"(Nauta i sur., 2005; Han i sur., 2014)","plainTextFormattedCitation":"(Nauta et al., 2005; Han et al., 2014)","previouslyFormattedCitation":"(Nauta &lt;i&gt;et al.&lt;/i&gt;, 2005; Han &lt;i&gt;et al.&lt;/i&gt;, 2014)"},"properties":{"noteIndex":0},"schema":"https://github.com/citation-style-language/schema/raw/master/csl-citation.json"}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(Nauta </w:t>
      </w:r>
      <w:r w:rsidR="003F4A87">
        <w:rPr>
          <w:rStyle w:val="Strong"/>
          <w:b w:val="0"/>
          <w:bCs w:val="0"/>
          <w:i/>
          <w:noProof/>
          <w:sz w:val="20"/>
          <w:szCs w:val="20"/>
        </w:rPr>
        <w:t>i sur.,</w:t>
      </w:r>
      <w:r w:rsidR="00A37DE1" w:rsidRPr="00E67E82">
        <w:rPr>
          <w:rStyle w:val="Strong"/>
          <w:b w:val="0"/>
          <w:bCs w:val="0"/>
          <w:noProof/>
          <w:sz w:val="20"/>
          <w:szCs w:val="20"/>
        </w:rPr>
        <w:t xml:space="preserve"> 2005; Han </w:t>
      </w:r>
      <w:r w:rsidR="003F4A87">
        <w:rPr>
          <w:rStyle w:val="Strong"/>
          <w:b w:val="0"/>
          <w:bCs w:val="0"/>
          <w:i/>
          <w:noProof/>
          <w:sz w:val="20"/>
          <w:szCs w:val="20"/>
        </w:rPr>
        <w:t>i sur.,</w:t>
      </w:r>
      <w:r w:rsidR="00A37DE1" w:rsidRPr="00E67E82">
        <w:rPr>
          <w:rStyle w:val="Strong"/>
          <w:b w:val="0"/>
          <w:bCs w:val="0"/>
          <w:noProof/>
          <w:sz w:val="20"/>
          <w:szCs w:val="20"/>
        </w:rPr>
        <w:t xml:space="preserve"> 2014)</w:t>
      </w:r>
      <w:r w:rsidR="00A37DE1" w:rsidRPr="00E67E82">
        <w:rPr>
          <w:rStyle w:val="Strong"/>
          <w:b w:val="0"/>
          <w:bCs w:val="0"/>
          <w:sz w:val="20"/>
          <w:szCs w:val="20"/>
        </w:rPr>
        <w:fldChar w:fldCharType="end"/>
      </w:r>
      <w:r w:rsidR="00A37DE1" w:rsidRPr="00E67E82">
        <w:rPr>
          <w:rStyle w:val="Strong"/>
          <w:b w:val="0"/>
          <w:bCs w:val="0"/>
          <w:sz w:val="20"/>
          <w:szCs w:val="20"/>
        </w:rPr>
        <w:t xml:space="preserve">. PTX3 ima širok spektar liganda i funkcija. Među prvima opisano je prepoznavanje i vezanje različitih mikroorganizama u sklopu prirođene imunosti. Vežući se za C1q komponentu komplementa, PTX3 aktivira komplement klasičnim putem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{"citationItems":[{"id":"ITEM-1","itemData":{"DOI":"10.1021/bi052646f","ISSN":"00062960","abstract":"C1q is the first subcomponent of the classical complement pathway that can interact with a range of biochemically and structurally diverse self and nonself ligands. The globular domain of C1q (gC1q), which is the ligand-recognition domain, is a heterotrimeric structure composed of the C-terminal regions of A (ghA), B (ghB), and C (ghC) chains. The expression and functional characterization of ghA, ghB, and ghC modules have revealed that each chain has specific and differential binding properties toward C1q ligands. It is largely considered that C1q-ligand interactions are ionic in nature; however, the complementary ligand-binding sites on C1q and the mechanisms of interactions are still unclear. To identify the residues on the gC1q domain that are likely to be involved in ligand recognition, we have generated a number of substitution mutants of ghA, ghB, and ghC modules and examined their interactions with three selected ligands: IgG1, C-reactive protein (CRP), and pentraxin 3 (PTX3). Our results suggest that charged residues belonging to the apex of the gC1q heterotrimer (with participation of all three chains) as well as the side of the ghB are crucial for C1q binding to these ligands, and their contribution to each interaction is different. It is likely that a set of charged residues from the gC1q surface participate via different ionic and hydrogen bonds with corresponding residues from the ligand, instead of forming separate binding sites. Thus, a recently proposed model suggesting the rotation of the gC1q domain upon ligand recognition may be extended to C1q interaction with CRP and PTX3 in addition to IgG1.","author":[{"dropping-particle":"","family":"Roumenina","given":"Lubka T.","non-dropping-particle":"","parse-names":false,"suffix":""},{"dropping-particle":"","family":"Ruseva","given":"Marieta M.","non-dropping-particle":"","parse-names":false,"suffix":""},{"dropping-particle":"","family":"Zlatarova","given":"Alexandra","non-dropping-particle":"","parse-names":false,"suffix":""},{"dropping-particle":"","family":"Ghai","given":"Rohit","non-dropping-particle":"","parse-names":false,"suffix":""},{"dropping-particle":"","family":"Kolev","given":"Martin","non-dropping-particle":"","parse-names":false,"suffix":""},{"dropping-particle":"","family":"Olova","given":"Neli","non-dropping-particle":"","parse-names":false,"suffix":""},{"dropping-particle":"","family":"Gadjeva","given":"Mihaela","non-dropping-particle":"","parse-names":false,"suffix":""},{"dropping-particle":"","family":"Agrawal","given":"Alok","non-dropping-particle":"","parse-names":false,"suffix":""},{"dropping-particle":"","family":"Bottazzi","given":"Barbara","non-dropping-particle":"","parse-names":false,"suffix":""},{"dropping-particle":"","family":"Mantovani","given":"Alberto","non-dropping-particle":"","parse-names":false,"suffix":""},{"dropping-particle":"","family":"Reid","given":"Kenneth B.M.","non-dropping-particle":"","parse-names":false,"suffix":""},{"dropping-particle":"","family":"Kishore","given":"Uday","non-dropping-particle":"","parse-names":false,"suffix":""},{"dropping-particle":"","family":"Kojouharova","given":"Mihaela S.","non-dropping-particle":"","parse-names":false,"suffix":""}],"container-title":"Biochemistry","id":"ITEM-1","issue":"13","issued":{"date-parts":[["2006"]]},"page":"4093-4104","title":"Interaction of C1q with IgG1, C-reactive protein and pentraxin 3: Mutational studies using recombinant globular head modules of human C1q A, B, and C chains","type":"article-journal","volume":"45"},"uris":["http://www.mendeley.com/documents/?uuid=e186e54a-6280-44a5-861e-5f7ac3cb9f42"]}],"mendeley":{"formattedCitation":"(Roumenina &lt;i&gt;et al.&lt;/i&gt;, 2006)","manualFormatting":"(Roumenina i sur., 2006)","plainTextFormattedCitation":"(Roumenina et al., 2006)","previouslyFormattedCitation":"(Roumenina &lt;i&gt;et al.&lt;/i&gt;, 2006)"},"properties":{"noteIndex":0},"schema":"https://github.com/citation-style-language/schema/raw/master/csl-citation.json"}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(Roumenina </w:t>
      </w:r>
      <w:r w:rsidR="003F4A87">
        <w:rPr>
          <w:rStyle w:val="Strong"/>
          <w:b w:val="0"/>
          <w:bCs w:val="0"/>
          <w:i/>
          <w:noProof/>
          <w:sz w:val="20"/>
          <w:szCs w:val="20"/>
        </w:rPr>
        <w:t>i sur.,</w:t>
      </w:r>
      <w:r w:rsidR="00A37DE1" w:rsidRPr="00E67E82">
        <w:rPr>
          <w:rStyle w:val="Strong"/>
          <w:b w:val="0"/>
          <w:bCs w:val="0"/>
          <w:noProof/>
          <w:sz w:val="20"/>
          <w:szCs w:val="20"/>
        </w:rPr>
        <w:t xml:space="preserve"> 2006)</w:t>
      </w:r>
      <w:r w:rsidR="00A37DE1" w:rsidRPr="00E67E82">
        <w:rPr>
          <w:rStyle w:val="Strong"/>
          <w:b w:val="0"/>
          <w:bCs w:val="0"/>
          <w:sz w:val="20"/>
          <w:szCs w:val="20"/>
        </w:rPr>
        <w:fldChar w:fldCharType="end"/>
      </w:r>
      <w:r w:rsidR="00A37DE1" w:rsidRPr="00E67E82">
        <w:rPr>
          <w:rStyle w:val="Strong"/>
          <w:b w:val="0"/>
          <w:bCs w:val="0"/>
          <w:sz w:val="20"/>
          <w:szCs w:val="20"/>
        </w:rPr>
        <w:t>. Kao i CRP, PTX3 se veže za faktor H i koči pretjeranu aktivaciju</w:t>
      </w:r>
      <w:r w:rsidR="008328CA">
        <w:rPr>
          <w:rStyle w:val="Strong"/>
          <w:b w:val="0"/>
          <w:bCs w:val="0"/>
          <w:sz w:val="20"/>
          <w:szCs w:val="20"/>
        </w:rPr>
        <w:t xml:space="preserve"> sustava</w:t>
      </w:r>
      <w:r w:rsidR="00A37DE1" w:rsidRPr="00E67E82">
        <w:rPr>
          <w:rStyle w:val="Strong"/>
          <w:b w:val="0"/>
          <w:bCs w:val="0"/>
          <w:sz w:val="20"/>
          <w:szCs w:val="20"/>
        </w:rPr>
        <w:t xml:space="preserve"> komplementa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{"citationItems":[{"id":"ITEM-1","itemData":{"DOI":"10.4049/jimmunol.181.12.8433","ISBN":"2004512040","ISSN":"0022-1767","abstract":"The long pentraxin PTX3 is a multifunctional soluble molecule involved in inflammation and innate immunity. As an acute phase protein, PTX3 binds to the classical pathway complement protein C1q, limits tissue damage in inflammatory conditions by regulating apoptotic cell clearance, and plays a role in the phagocytosis of selected pathogens. This study was designed to investigate the interaction of PTX3 with factor H (FH), the main soluble alternative pathway regulatory protein. We report that PTX3 binds FH with an apparent K(d) of 1.1 x 10(-7) M, and define two binding sites for PTX3 on FH. The primary binding site is located on FH domains 19-20, which interact with the N-terminal domain of PTX3, while a secondary binding site on domain 7 binds the glycosylated PTX3 pentraxin domain. The FH Y402H polymorphism, which affects binding to the short pentraxin CRP, did not affect binding to PTX3. Surface-bound PTX3 enhances FH recruitment and iC3b deposition and PTX3-bound FH retains its activity as a cofactor for factor I-mediated C3b cleavage. Thus, our findings identify PTX3 as a unique FH ligand in that it can bind both of the two hot-spots of FH, namely SCR7 and SCR19-20 and indicate that PTX3 participates in the localization of functionally active FH.","author":[{"dropping-particle":"","family":"Deban","given":"L.","non-dropping-particle":"","parse-names":false,"suffix":""},{"dropping-particle":"","family":"Jarva","given":"H.","non-dropping-particle":"","parse-names":false,"suffix":""},{"dropping-particle":"","family":"Lehtinen","given":"M. J.","non-dropping-particle":"","parse-names":false,"suffix":""},{"dropping-particle":"","family":"Bottazzi","given":"B.","non-dropping-particle":"","parse-names":false,"suffix":""},{"dropping-particle":"","family":"Bastone","given":"A.","non-dropping-particle":"","parse-names":false,"suffix":""},{"dropping-particle":"","family":"Doni","given":"A.","non-dropping-particle":"","parse-names":false,"suffix":""},{"dropping-particle":"","family":"Jokiranta","given":"T. S.","non-dropping-particle":"","parse-names":false,"suffix":""},{"dropping-particle":"","family":"Mantovani","given":"A.","non-dropping-particle":"","parse-names":false,"suffix":""},{"dropping-particle":"","family":"Meri","given":"S.","non-dropping-particle":"","parse-names":false,"suffix":""}],"container-title":"The Journal of Immunology","id":"ITEM-1","issue":"12","issued":{"date-parts":[["2014"]]},"page":"8433-8440","title":"Binding of the Long Pentraxin PTX3 to Factor H: Interacting Domains and Function in the Regulation of Complement Activation","type":"article-journal","volume":"181"},"uris":["http://www.mendeley.com/documents/?uuid=767f5476-a343-4c07-a1d8-5bd927d0af0a"]}],"mendeley":{"formattedCitation":"(Deban &lt;i&gt;et al.&lt;/i&gt;, 2014)","manualFormatting":"(Deban i sur., 2014)","plainTextFormattedCitation":"(Deban et al., 2014)","previouslyFormattedCitation":"(Deban &lt;i&gt;et al.&lt;/i&gt;, 2014)"},"properties":{"noteIndex":0},"schema":"https://github.com/citation-style-language/schema/raw/master/csl-citation.json"}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(Deban </w:t>
      </w:r>
      <w:r w:rsidR="003F4A87">
        <w:rPr>
          <w:rStyle w:val="Strong"/>
          <w:b w:val="0"/>
          <w:bCs w:val="0"/>
          <w:i/>
          <w:noProof/>
          <w:sz w:val="20"/>
          <w:szCs w:val="20"/>
        </w:rPr>
        <w:t>i sur.,</w:t>
      </w:r>
      <w:r w:rsidR="00A37DE1" w:rsidRPr="00E67E82">
        <w:rPr>
          <w:rStyle w:val="Strong"/>
          <w:b w:val="0"/>
          <w:bCs w:val="0"/>
          <w:noProof/>
          <w:sz w:val="20"/>
          <w:szCs w:val="20"/>
        </w:rPr>
        <w:t xml:space="preserve"> 2014)</w:t>
      </w:r>
      <w:r w:rsidR="00A37DE1" w:rsidRPr="00E67E82">
        <w:rPr>
          <w:rStyle w:val="Strong"/>
          <w:b w:val="0"/>
          <w:bCs w:val="0"/>
          <w:sz w:val="20"/>
          <w:szCs w:val="20"/>
        </w:rPr>
        <w:fldChar w:fldCharType="end"/>
      </w:r>
      <w:r w:rsidR="00A37DE1" w:rsidRPr="00E67E82">
        <w:rPr>
          <w:rStyle w:val="Strong"/>
          <w:b w:val="0"/>
          <w:bCs w:val="0"/>
          <w:sz w:val="20"/>
          <w:szCs w:val="20"/>
        </w:rPr>
        <w:t xml:space="preserve">. Kao i ostali članovi pentraksinske obitelji, PTX3 se veže za apoptotične stanice i inibira prezentaciju antigena umirućih stanica dendritičnim stanicama. Osim toga, pospješuje i vezanje C1q komponente komplementa na površinu tih stanica. Iz toga proizlazi da PTX3 vjerojatno ima važnu ulogu u kontroli autoimunosti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{"citationItems":[{"id":"ITEM-1","itemData":{"ISSN":"0006-4971","PMID":"11110705","abstract":"Pentraxins are acute-phase proteins produced in vivo during inflammatory reactions. Classical short pentraxins, C-reactive protein, and serum amyloid P component are generated in the liver in response to interleukin (IL)-6. The long pentraxin PTX3 is produced in tissues under the control of primary proinflammatory signals, such as lipopolysaccharide, IL-1 beta, and tumor necrosis factor-alpha, which also promote maturation of dendritic cells (DCs). Cell death commonly occurs during inflammatory reactions. In this study, it is shown that PTX3 specifically binds to dying cells. The binding was dose dependent and saturable. Recognition was restricted to extranuclear membrane domains and to a chronological window after UV irradiation or after CD95 cross-linking-induced or spontaneous cell death in vitro. PTX3 bound to necrotic cells to a lesser extent. Human DCs failed to internalize dying cells in the presence of PTX3, while they took up normally soluble or inert particulate substrates. These results suggest that PTX3 sequesters cell remnants from antigen-presenting cells, possibly contributing to preventing the onset of autoimmune reactions in inflamed tissues. (Blood. 2000;96:4300-4306)","author":[{"dropping-particle":"","family":"Rovere","given":"P","non-dropping-particle":"","parse-names":false,"suffix":""},{"dropping-particle":"","family":"Peri","given":"G","non-dropping-particle":"","parse-names":false,"suffix":""},{"dropping-particle":"","family":"Fazzini","given":"F","non-dropping-particle":"","parse-names":false,"suffix":""},{"dropping-particle":"","family":"Bottazzi","given":"B","non-dropping-particle":"","parse-names":false,"suffix":""},{"dropping-particle":"","family":"Doni","given":"A","non-dropping-particle":"","parse-names":false,"suffix":""},{"dropping-particle":"","family":"Bondanza","given":"A","non-dropping-particle":"","parse-names":false,"suffix":""},{"dropping-particle":"","family":"Zimmermann","given":"V S","non-dropping-particle":"","parse-names":false,"suffix":""},{"dropping-particle":"","family":"Garlanda","given":"C","non-dropping-particle":"","parse-names":false,"suffix":""},{"dropping-particle":"","family":"Fascio","given":"U","non-dropping-particle":"","parse-names":false,"suffix":""},{"dropping-particle":"","family":"Sabbadini","given":"M G","non-dropping-particle":"","parse-names":false,"suffix":""},{"dropping-particle":"","family":"Rugarli","given":"C","non-dropping-particle":"","parse-names":false,"suffix":""},{"dropping-particle":"","family":"Mantovani","given":"A","non-dropping-particle":"","parse-names":false,"suffix":""},{"dropping-particle":"","family":"Manfredi","given":"A A","non-dropping-particle":"","parse-names":false,"suffix":""}],"container-title":"Blood","id":"ITEM-1","issue":"13","issued":{"date-parts":[["2000"]]},"page":"4300-6","title":"The long pentraxin PTX3 binds to apoptotic cells and regulates their clearance by antigen-presenting dendritic cells.","type":"article-journal","volume":"96"},"uris":["http://www.mendeley.com/documents/?uuid=894bb895-143a-45a1-8555-159055b3ef40"]}],"mendeley":{"formattedCitation":"(Rovere &lt;i&gt;et al.&lt;/i&gt;, 2000)","manualFormatting":"(Rovere i sur., 2000)","plainTextFormattedCitation":"(Rovere et al., 2000)","previouslyFormattedCitation":"(Rovere &lt;i&gt;et al.&lt;/i&gt;, 2000)"},"properties":{"noteIndex":0},"schema":"https://github.com/citation-style-language/schema/raw/master/csl-citation.json"}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(Rovere </w:t>
      </w:r>
      <w:r w:rsidR="003F4A87">
        <w:rPr>
          <w:rStyle w:val="Strong"/>
          <w:b w:val="0"/>
          <w:bCs w:val="0"/>
          <w:i/>
          <w:noProof/>
          <w:sz w:val="20"/>
          <w:szCs w:val="20"/>
        </w:rPr>
        <w:t>i sur.,</w:t>
      </w:r>
      <w:r w:rsidR="00A37DE1" w:rsidRPr="00E67E82">
        <w:rPr>
          <w:rStyle w:val="Strong"/>
          <w:b w:val="0"/>
          <w:bCs w:val="0"/>
          <w:noProof/>
          <w:sz w:val="20"/>
          <w:szCs w:val="20"/>
        </w:rPr>
        <w:t xml:space="preserve"> 2000)</w:t>
      </w:r>
      <w:r w:rsidR="00A37DE1" w:rsidRPr="00E67E82">
        <w:rPr>
          <w:rStyle w:val="Strong"/>
          <w:b w:val="0"/>
          <w:bCs w:val="0"/>
          <w:sz w:val="20"/>
          <w:szCs w:val="20"/>
        </w:rPr>
        <w:fldChar w:fldCharType="end"/>
      </w:r>
      <w:r w:rsidR="00A37DE1" w:rsidRPr="00E67E82">
        <w:rPr>
          <w:rStyle w:val="Strong"/>
          <w:b w:val="0"/>
          <w:bCs w:val="0"/>
          <w:sz w:val="20"/>
          <w:szCs w:val="20"/>
        </w:rPr>
        <w:t xml:space="preserve">. U prilog tomu govori i redukcija regrutacije neutrofila na mjesto upale vezanjem PTX3 za P-selektin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{"citationItems":[{"id":"ITEM-1","itemData":{"DOI":"10.1038/ni.1854","ISSN":"15292908","abstract":"Pentraxins are a superfamily of conserved proteins involved in the acute-phase response and innate immunity. Pentraxin 3 (PTX3), a prototypical member of the long pentraxin subfamily, is a key component of the humoral arm of innate immunity that is essential for resistance to certain pathogens. A regulatory role for pentraxins in inflammation has long been recognized, but the underlying mechanisms remain unclear. Here we report that PTX3 bound P-selectin and attenuated neutrophil recruitment at sites of inflammation. PTX3 released from activated leukocytes functioned locally to dampen neutrophil recruitment and regulate inflammation. Antibodies have glycosylation-dependent regulatory effect on inflammation. Therefore, PTX3, which is an essential component of humoral innate immunity, and immunoglobulins share functional outputs, including complement activation, opsonization and, as shown here, glycosylation-dependent regulation of inflammation.","author":[{"dropping-particle":"","family":"Deban","given":"Livija","non-dropping-particle":"","parse-names":false,"suffix":""},{"dropping-particle":"","family":"Russo","given":"Remo Castro","non-dropping-particle":"","parse-names":false,"suffix":""},{"dropping-particle":"","family":"Sironi","given":"Marina","non-dropping-particle":"","parse-names":false,"suffix":""},{"dropping-particle":"","family":"Moalli","given":"Federica","non-dropping-particle":"","parse-names":false,"suffix":""},{"dropping-particle":"","family":"Scanziani","given":"Margherita","non-dropping-particle":"","parse-names":false,"suffix":""},{"dropping-particle":"","family":"Zambelli","given":"Vanessa","non-dropping-particle":"","parse-names":false,"suffix":""},{"dropping-particle":"","family":"Cuccovillo","given":"Ivan","non-dropping-particle":"","parse-names":false,"suffix":""},{"dropping-particle":"","family":"Bastone","given":"Antonio","non-dropping-particle":"","parse-names":false,"suffix":""},{"dropping-particle":"","family":"Gobbi","given":"Marco","non-dropping-particle":"","parse-names":false,"suffix":""},{"dropping-particle":"","family":"Valentino","given":"Sonia","non-dropping-particle":"","parse-names":false,"suffix":""},{"dropping-particle":"","family":"Doni","given":"Andrea","non-dropping-particle":"","parse-names":false,"suffix":""},{"dropping-particle":"","family":"Garlanda","given":"Cecilia","non-dropping-particle":"","parse-names":false,"suffix":""},{"dropping-particle":"","family":"Danese","given":"Silvio","non-dropping-particle":"","parse-names":false,"suffix":""},{"dropping-particle":"","family":"Salvatori","given":"Giovanni","non-dropping-particle":"","parse-names":false,"suffix":""},{"dropping-particle":"","family":"Sassano","given":"Marica","non-dropping-particle":"","parse-names":false,"suffix":""},{"dropping-particle":"","family":"Evangelista","given":"Virgilio","non-dropping-particle":"","parse-names":false,"suffix":""},{"dropping-particle":"","family":"Rossi","given":"Barbara","non-dropping-particle":"","parse-names":false,"suffix":""},{"dropping-particle":"","family":"Zenaro","given":"Elena","non-dropping-particle":"","parse-names":false,"suffix":""},{"dropping-particle":"","family":"Constantin","given":"Gabriela","non-dropping-particle":"","parse-names":false,"suffix":""},{"dropping-particle":"","family":"Laudanna","given":"Carlo","non-dropping-particle":"","parse-names":false,"suffix":""},{"dropping-particle":"","family":"Bottazzi","given":"Barbara","non-dropping-particle":"","parse-names":false,"suffix":""},{"dropping-particle":"","family":"Mantovani","given":"Alberto","non-dropping-particle":"","parse-names":false,"suffix":""}],"container-title":"Nature Immunology","id":"ITEM-1","issue":"4","issued":{"date-parts":[["2010"]]},"page":"328-334","publisher":"Nature Publishing Group","title":"Regulation of leukocyte recruitment by the long pentraxin PTX3","type":"article-journal","volume":"11"},"uris":["http://www.mendeley.com/documents/?uuid=13e86be1-180d-4e38-85e0-40b92d04b74e"]}],"mendeley":{"formattedCitation":"(Deban &lt;i&gt;et al.&lt;/i&gt;, 2010)","manualFormatting":"(Deban i sur., 2010)","plainTextFormattedCitation":"(Deban et al., 2010)","previouslyFormattedCitation":"(Deban &lt;i&gt;et al.&lt;/i&gt;, 2010)"},"properties":{"noteIndex":0},"schema":"https://github.com/citation-style-language/schema/raw/master/csl-citation.json"}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(Deban </w:t>
      </w:r>
      <w:r w:rsidR="003F4A87">
        <w:rPr>
          <w:rStyle w:val="Strong"/>
          <w:b w:val="0"/>
          <w:bCs w:val="0"/>
          <w:i/>
          <w:noProof/>
          <w:sz w:val="20"/>
          <w:szCs w:val="20"/>
        </w:rPr>
        <w:t>i sur.,</w:t>
      </w:r>
      <w:r w:rsidR="00A37DE1" w:rsidRPr="00E67E82">
        <w:rPr>
          <w:rStyle w:val="Strong"/>
          <w:b w:val="0"/>
          <w:bCs w:val="0"/>
          <w:noProof/>
          <w:sz w:val="20"/>
          <w:szCs w:val="20"/>
        </w:rPr>
        <w:t xml:space="preserve"> 2010)</w:t>
      </w:r>
      <w:r w:rsidR="00A37DE1" w:rsidRPr="00E67E82">
        <w:rPr>
          <w:rStyle w:val="Strong"/>
          <w:b w:val="0"/>
          <w:bCs w:val="0"/>
          <w:sz w:val="20"/>
          <w:szCs w:val="20"/>
        </w:rPr>
        <w:fldChar w:fldCharType="end"/>
      </w:r>
      <w:r w:rsidR="00A37DE1" w:rsidRPr="00E67E82">
        <w:rPr>
          <w:rStyle w:val="Strong"/>
          <w:b w:val="0"/>
          <w:bCs w:val="0"/>
          <w:sz w:val="20"/>
          <w:szCs w:val="20"/>
        </w:rPr>
        <w:t xml:space="preserve">. Interakcija PTX3 s proteinima ekstracelularnog matriksa kao što su tumor necrosis factor α-stimulated gene 6 (TSG-6) i iner-α-tripsin inhibitor (IαI) ključna je za organizaciju matriksa cumulusa oophorusa. Deficit PTX3 i posljedična nestabilnost matriksa rezultiraju ženskom subfertilnošću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{"citationItems":[{"id":"ITEM-1","itemData":{"DOI":"10.1242/dev.01056","ISSN":"0950-1991","abstract":"PTX3 is a prototypic long pentraxin that plays a non-redundant role in innate immunity against selected pathogens and in female fertility. Here, we report that the infertility of Ptx3(-/-) mice is associated with severe abnormalities of the cumulus oophorus and failure of in vivo, but not in vitro, oocyte fertilization. PTX3 is produced by mouse cumulus cells during cumulus expansion and localizes in the matrix. PTX3 is expressed in the human cumulus oophorus as well. Cumuli from Ptx3(-/-) mice synthesize normal amounts of hyaluronan (HA), but are unable to organize it in a stable matrix. Exogenous PTX3 restores a normal cumulus phenotype. Incorporation in the matrix of inter-alpha-trypsin inhibitor is normal in Ptx3(-/-) cumuli. PTX3 does not interact directly with HA, but it binds the cumulus matrix hyaladherin tumor necrosis factor alpha-induced protein 6 (TNFAIP6, also known as TSG6) and thereby may form multimolecular complexes that can cross-link HA chains. Thus, PTX3 is a structural constituent of the cumulus oophorus extracellular matrix essential for female fertility.","author":[{"dropping-particle":"","family":"Salustri","given":"A.","non-dropping-particle":"","parse-names":false,"suffix":""}],"container-title":"Development","id":"ITEM-1","issue":"7","issued":{"date-parts":[["2004"]]},"page":"1577-1586","title":"PTX3 plays a key role in the organization of the cumulus oophorus extracellular matrix and in in vivo fertilization","type":"article-journal","volume":"131"},"uris":["http://www.mendeley.com/documents/?uuid=01ce1841-4728-47e3-ac98-8dc9f815aac1"]},{"id":"ITEM-2","itemData":{"DOI":"10.1074/jbc.m703738200","ISSN":"0021-9258","abstract":"Pentraxin 3 (PTX3) and heavy chains (HCs) of inter-Î±-trypsin inhibitor (IÎ±I) are essential for hyaluronan (HA) organization within the extracellular matrix of the cumulus oophorus, which is critical for in vivo oocyte fertilization and female fertility. In this study, we examined the possibility that these molecules interact and cooperate in this function. We show that HCs and PTX3 colocalize in the cumulus matrix and coimmunoprecipitate from cumulus matrix extracts. Coimmunoprecipitation experiments and solid-phase binding assays performed with purified human IÎ±I and recombinant PTX3 demonstrate that their interaction is direct and not mediated by other matrix components. PTX3 does not bind to IÎ±I subcomponent bikunin and, accordingly, bikunin does not compete for the binding of PTX3 to IÎ±I, indicating that PTX3 interacts with IÎ±I subcomponent HC only. Recombinant PTX3-specific N-terminal region, but not the PTX3-pentraxin C-terminal domain, showed the same ability as full-length protein to bind to HCs and to enable HA organization and matrix formation by Ptx3-/- cumulus cell oocyte complexes cultured in vitro. Furthermore, a monoclonal antibody raised against PTX3 N terminus, which inhibits PTX3/IÎ±I interaction, also prevents recombinant full-length PTX3 from restoring a normal phenotype to in vitro-cultured Ptx3-/- cumuli. These results indicate that PTX3 directly interacts with HCs of IÎ±I and that such interaction is essential for organizing HA in the viscoelastic matrix of cumulus oophorus, highlighting a direct functional link between the two molecules.","author":[{"dropping-particle":"","family":"Scarchilli","given":"Laura","non-dropping-particle":"","parse-names":false,"suffix":""},{"dropping-particle":"","family":"Camaioni","given":"Antonella","non-dropping-particle":"","parse-names":false,"suffix":""},{"dropping-particle":"","family":"Bottazzi","given":"Barbara","non-dropping-particle":"","parse-names":false,"suffix":""},{"dropping-particle":"","family":"Negri","given":"Veronica","non-dropping-particle":"","parse-names":false,"suffix":""},{"dropping-particle":"","family":"Doni","given":"Andrea","non-dropping-particle":"","parse-names":false,"suffix":""},{"dropping-particle":"","family":"Deban","given":"Livija","non-dropping-particle":"","parse-names":false,"suffix":""},{"dropping-particle":"","family":"Bastone","given":"Antonio","non-dropping-particle":"","parse-names":false,"suffix":""},{"dropping-particle":"","family":"Salvatori","given":"Giovanni","non-dropping-particle":"","parse-names":false,"suffix":""},{"dropping-particle":"","family":"Mantovani","given":"Alberto","non-dropping-particle":"","parse-names":false,"suffix":""},{"dropping-particle":"","family":"Siracusa","given":"Gregorio","non-dropping-particle":"","parse-names":false,"suffix":""},{"dropping-particle":"","family":"Salustri","given":"Antonietta","non-dropping-particle":"","parse-names":false,"suffix":""}],"container-title":"Journal of Biological Chemistry","id":"ITEM-2","issue":"41","issued":{"date-parts":[["2007"]]},"page":"30161-30170","title":"PTX3 Interacts with Inter-α-trypsin Inhibitor","type":"article-journal","volume":"282"},"uris":["http://www.mendeley.com/documents/?uuid=e3c0421f-901e-499b-97be-3a6a00ffc433"]}],"mendeley":{"formattedCitation":"(Salustri, 2004; Scarchilli &lt;i&gt;et al.&lt;/i&gt;, 2007)","manualFormatting":"(Salustri, 2004; Scarchilli i sur., 2007)","plainTextFormattedCitation":"(Salustri, 2004; Scarchilli et al., 2007)","previouslyFormattedCitation":"(Salustri, 2004; Scarchilli &lt;i&gt;et al.&lt;/i&gt;, 2007)"},"properties":{"noteIndex":0},"schema":"https://github.com/citation-style-language/schema/raw/master/csl-citation.json"}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(Salustri, 2004; Scarchilli </w:t>
      </w:r>
      <w:r w:rsidR="003F4A87">
        <w:rPr>
          <w:rStyle w:val="Strong"/>
          <w:b w:val="0"/>
          <w:bCs w:val="0"/>
          <w:i/>
          <w:noProof/>
          <w:sz w:val="20"/>
          <w:szCs w:val="20"/>
        </w:rPr>
        <w:t>i sur.,</w:t>
      </w:r>
      <w:r w:rsidR="00A37DE1" w:rsidRPr="00E67E82">
        <w:rPr>
          <w:rStyle w:val="Strong"/>
          <w:b w:val="0"/>
          <w:bCs w:val="0"/>
          <w:noProof/>
          <w:sz w:val="20"/>
          <w:szCs w:val="20"/>
        </w:rPr>
        <w:t xml:space="preserve"> 2007)</w:t>
      </w:r>
      <w:r w:rsidR="00A37DE1" w:rsidRPr="00E67E82">
        <w:rPr>
          <w:rStyle w:val="Strong"/>
          <w:b w:val="0"/>
          <w:bCs w:val="0"/>
          <w:sz w:val="20"/>
          <w:szCs w:val="20"/>
        </w:rPr>
        <w:fldChar w:fldCharType="end"/>
      </w:r>
      <w:r w:rsidR="00A37DE1" w:rsidRPr="00E67E82">
        <w:rPr>
          <w:rStyle w:val="Strong"/>
          <w:b w:val="0"/>
          <w:bCs w:val="0"/>
          <w:sz w:val="20"/>
          <w:szCs w:val="20"/>
        </w:rPr>
        <w:t xml:space="preserve">. Osim toga, PTX3 se visokim afinitetom veže za proangiogeni fibroblast growth factor-2 (FGF2) i druge članove FGF-obitelji, kao što su FGF8b, FGF6, FGF10 i FGF17. Na taj način sprječava se interakcija faktora rasta i njegovog receptora, odnosno aktivacija sustava FGF/FGFR, što posljedično rezultira inhibicijom proliferacije endotelnih stanica </w:t>
      </w:r>
      <w:r w:rsidR="00A37DE1" w:rsidRPr="006C03E8">
        <w:rPr>
          <w:rStyle w:val="Strong"/>
          <w:b w:val="0"/>
          <w:bCs w:val="0"/>
          <w:i/>
          <w:sz w:val="20"/>
          <w:szCs w:val="20"/>
        </w:rPr>
        <w:t>in vitro</w:t>
      </w:r>
      <w:r w:rsidR="00A37DE1" w:rsidRPr="00E67E82">
        <w:rPr>
          <w:rStyle w:val="Strong"/>
          <w:b w:val="0"/>
          <w:bCs w:val="0"/>
          <w:sz w:val="20"/>
          <w:szCs w:val="20"/>
        </w:rPr>
        <w:t xml:space="preserve"> i angiogeneze </w:t>
      </w:r>
      <w:r w:rsidR="00A37DE1" w:rsidRPr="006C03E8">
        <w:rPr>
          <w:rStyle w:val="Strong"/>
          <w:b w:val="0"/>
          <w:bCs w:val="0"/>
          <w:i/>
          <w:sz w:val="20"/>
          <w:szCs w:val="20"/>
        </w:rPr>
        <w:t>in vivo</w:t>
      </w:r>
      <w:r w:rsidR="00A37DE1" w:rsidRPr="00E67E82">
        <w:rPr>
          <w:rStyle w:val="Strong"/>
          <w:b w:val="0"/>
          <w:bCs w:val="0"/>
          <w:sz w:val="20"/>
          <w:szCs w:val="20"/>
        </w:rPr>
        <w:t xml:space="preserve">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{"citationItems":[{"id":"ITEM-1","itemData":{"DOI":"10.1182/blood-2003-10-3433","ISSN":"00064971","abstract":"The long pentraxin PTX3 is a soluble pattern recognition receptor produced by monocytes and endothelial cells that plays a nonredundant role in inflammation. Several pathologic conditions are characterized by local production of both PTX3 and the angiogenic fibroblast growth factor-2 (FGF2). Here, solid-phase binding assays demonstrated that PTX3 binds with high affinity to FGF2 but not to a panel of cytokines and growth factors, including FGF1, FGF4, and FGF8. Accordingly, PTX3 prevented (125)I-FGF2 binding to endothelial cell receptors, leading to specific inhibition of FGF2-induced proliferation. PTX3 hampered also the motogenic activity exerted by endogenous FGF2 on a wounded endothelial cell monolayer. Moreover, PTX3 cDNA transduction in FGF2-transformed endothelial cells inhibited their autocrine FGF2-dependent proliferation and morphogenesis in vitro and their capacity to generate vascular lesions when injected in nude mice. Finally, PTX3 suppressed neovascularization triggered by FGF2 in the chick embryo chorioallantoic membrane with no effect on physiologic angiogenesis. In contrast, the short pentraxin C-reactive protein was a poor FGF2 ligand/antagonist. These results establish the selective binding of a member of the pentraxin superfamily to a growth factor. PTX3/FGF2 interaction may modulate angiogenesis in various physiopathologic conditions driven by inflammation, innate immunity, and/or neoplastic transformation.","author":[{"dropping-particle":"","family":"Rusnati","given":"Marco","non-dropping-particle":"","parse-names":false,"suffix":""},{"dropping-particle":"","family":"Camozzi","given":"Maura","non-dropping-particle":"","parse-names":false,"suffix":""},{"dropping-particle":"","family":"Moroni","given":"Emanuela","non-dropping-particle":"","parse-names":false,"suffix":""},{"dropping-particle":"","family":"Bottazzi","given":"Barbara","non-dropping-particle":"","parse-names":false,"suffix":""},{"dropping-particle":"","family":"Peri","given":"Giuseppe","non-dropping-particle":"","parse-names":false,"suffix":""},{"dropping-particle":"","family":"Indraccolo","given":"Stefano","non-dropping-particle":"","parse-names":false,"suffix":""},{"dropping-particle":"","family":"Amadori","given":"Alberto","non-dropping-particle":"","parse-names":false,"suffix":""},{"dropping-particle":"","family":"Mantovani","given":"Alberto","non-dropping-particle":"","parse-names":false,"suffix":""},{"dropping-particle":"","family":"Presta","given":"Marco","non-dropping-particle":"","parse-names":false,"suffix":""}],"container-title":"Blood","id":"ITEM-1","issue":"1","issued":{"date-parts":[["2004"]]},"page":"92-99","title":"Selective recognition of fibroblast growth factor-2 by the long pentraxin PTX3 inhibits angiogenesis","type":"article-journal","volume":"104"},"uris":["http://www.mendeley.com/documents/?uuid=d8085d16-8e81-408b-ba0b-7571d07a8196"]}],"mendeley":{"formattedCitation":"(Rusnati &lt;i&gt;et al.&lt;/i&gt;, 2004)","manualFormatting":"(Rusnati i sur., 2004)","plainTextFormattedCitation":"(Rusnati et al., 2004)","previouslyFormattedCitation":"(Rusnati &lt;i&gt;et al.&lt;/i&gt;, 2004)"},"properties":{"noteIndex":0},"schema":"https://github.com/citation-style-language/schema/raw/master/csl-citation.json"}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(Rusnati </w:t>
      </w:r>
      <w:r w:rsidR="003F4A87">
        <w:rPr>
          <w:rStyle w:val="Strong"/>
          <w:b w:val="0"/>
          <w:bCs w:val="0"/>
          <w:i/>
          <w:noProof/>
          <w:sz w:val="20"/>
          <w:szCs w:val="20"/>
        </w:rPr>
        <w:t>i sur.,</w:t>
      </w:r>
      <w:r w:rsidR="00A37DE1" w:rsidRPr="00E67E82">
        <w:rPr>
          <w:rStyle w:val="Strong"/>
          <w:b w:val="0"/>
          <w:bCs w:val="0"/>
          <w:noProof/>
          <w:sz w:val="20"/>
          <w:szCs w:val="20"/>
        </w:rPr>
        <w:t xml:space="preserve"> 2004)</w:t>
      </w:r>
      <w:r w:rsidR="00A37DE1" w:rsidRPr="00E67E82">
        <w:rPr>
          <w:rStyle w:val="Strong"/>
          <w:b w:val="0"/>
          <w:bCs w:val="0"/>
          <w:sz w:val="20"/>
          <w:szCs w:val="20"/>
        </w:rPr>
        <w:fldChar w:fldCharType="end"/>
      </w:r>
      <w:r w:rsidR="00A37DE1" w:rsidRPr="00E67E82">
        <w:rPr>
          <w:rStyle w:val="Strong"/>
          <w:b w:val="0"/>
          <w:bCs w:val="0"/>
          <w:sz w:val="20"/>
          <w:szCs w:val="20"/>
        </w:rPr>
        <w:t xml:space="preserve">. Pokazalo se da zapravo omjer TSG-6:PTX3 ima ključnu ulogu u regulaciji angiogeneze u </w:t>
      </w:r>
      <w:r w:rsidR="00A37DE1" w:rsidRPr="00E67E82">
        <w:rPr>
          <w:rStyle w:val="Strong"/>
          <w:b w:val="0"/>
          <w:bCs w:val="0"/>
          <w:sz w:val="20"/>
          <w:szCs w:val="20"/>
        </w:rPr>
        <w:lastRenderedPageBreak/>
        <w:t xml:space="preserve">tkivima poput aterosklerotične karotidne arterije, pleomorfnog adenoma partotidne žlijezde i karcinoma želuca. Tako nizak omjer najvjerojatnije ima inhibitorni, a visok permisivni učinak na angiogenezu posredovanu FGF2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{"citationItems":[{"id":"ITEM-1","itemData":{"DOI":"10.1161/atvbaha.111.243998","ISSN":"1079-5642","abstract":"Objectiveâ€”Angiogenesis is regulated by the balance between pro- and antiangiogenic factors and by extracellular matrix protein interactions. Fibroblast growth factor 2 (FGF2) is a major proangiogenic inducer inhibited by the interaction with the soluble pattern recognition receptor long pentraxin 3 (PTX3). PTX3 is locally coexpressed with its ligand tumor necrosis factor-stimulated gene-6 (TSG-6), a secreted glycoprotein that cooperates with PTX3 in extracellular matrix assembly. Here, we characterized the effect of TSG-6 on PTX3/FGF2 interaction and FGF2-mediated angiogenesis.Methods and Resultsâ€”Solid phase binding and surface plasmon resonance assays show that TSG-6 and FGF2 bind the PTX3 N-terminal domain with similar affinity. Accordingly, TSG-6 prevents FGF2/PTX3 interaction and suppresses the inhibition exerted by PTX3 on heparan sulfate proteoglycan/FGF2/FGF receptor complex formation and on FGF2-dependent angiogenesis in vitro and in vivo. Also, endogenous PTX3 exerts an inhibitory effect on vascularization induced by FGF2 in a murine subcutaneous Matrigel plug assay, the inhibition being abolished in Ptx3-null mice or by TSG-6 treatment in wild-type animals.Conclusionâ€”TSG-6 reverts the inhibitory effects exerted by PTX3 on FGF2-mediated angiogenesis through competition of FGF2/PTX3 interaction. This may provide a novel mechanism to control angiogenesis in those pathological settings characterized by the coexpression of TSG-6 and PTX3, in which the relative levels of these proteins may fine-tune the angiogenic activity of FGF2.","author":[{"dropping-particle":"","family":"Leali","given":"Daria","non-dropping-particle":"","parse-names":false,"suffix":""},{"dropping-particle":"","family":"Inforzato","given":"Antonio","non-dropping-particle":"","parse-names":false,"suffix":""},{"dropping-particle":"","family":"Ronca","given":"Roberto","non-dropping-particle":"","parse-names":false,"suffix":""},{"dropping-particle":"","family":"Bianchi","given":"Roberta","non-dropping-particle":"","parse-names":false,"suffix":""},{"dropping-particle":"","family":"Belleri","given":"Mirella","non-dropping-particle":"","parse-names":false,"suffix":""},{"dropping-particle":"","family":"Coltrini","given":"Daniela","non-dropping-particle":"","parse-names":false,"suffix":""},{"dropping-particle":"","family":"Salle","given":"Emanuela","non-dropping-particle":"Di","parse-names":false,"suffix":""},{"dropping-particle":"","family":"Sironi","given":"Marina","non-dropping-particle":"","parse-names":false,"suffix":""},{"dropping-particle":"","family":"Norata","given":"Giuseppe Danilo","non-dropping-particle":"","parse-names":false,"suffix":""},{"dropping-particle":"","family":"Bottazzi","given":"Barbara","non-dropping-particle":"","parse-names":false,"suffix":""},{"dropping-particle":"","family":"Garlanda","given":"Cecilia","non-dropping-particle":"","parse-names":false,"suffix":""},{"dropping-particle":"","family":"Day","given":"Anthony J.","non-dropping-particle":"","parse-names":false,"suffix":""},{"dropping-particle":"","family":"Presta","given":"Marco","non-dropping-particle":"","parse-names":false,"suffix":""}],"container-title":"Arteriosclerosis, Thrombosis, and Vascular Biology","id":"ITEM-1","issue":"3","issued":{"date-parts":[["2012"]]},"page":"696-703","title":"Long Pentraxin 3/Tumor Necrosis Factor-Stimulated Gene-6 Interaction","type":"article-journal","volume":"32"},"uris":["http://www.mendeley.com/documents/?uuid=86dab509-0a7a-4526-96e3-5fd88db93847"]}],"mendeley":{"formattedCitation":"(Leali &lt;i&gt;et al.&lt;/i&gt;, 2012)","manualFormatting":"(Leali i sur., 2012)","plainTextFormattedCitation":"(Leali et al., 2012)","previouslyFormattedCitation":"(Leali &lt;i&gt;et al.&lt;/i&gt;, 2012)"},"properties":{"noteIndex":0},"schema":"https://github.com/citation-style-language/schema/raw/master/csl-citation.json"}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(Leali </w:t>
      </w:r>
      <w:r w:rsidR="003F4A87">
        <w:rPr>
          <w:rStyle w:val="Strong"/>
          <w:b w:val="0"/>
          <w:bCs w:val="0"/>
          <w:i/>
          <w:noProof/>
          <w:sz w:val="20"/>
          <w:szCs w:val="20"/>
        </w:rPr>
        <w:t>i sur.,</w:t>
      </w:r>
      <w:r w:rsidR="00A37DE1" w:rsidRPr="00E67E82">
        <w:rPr>
          <w:rStyle w:val="Strong"/>
          <w:b w:val="0"/>
          <w:bCs w:val="0"/>
          <w:noProof/>
          <w:sz w:val="20"/>
          <w:szCs w:val="20"/>
        </w:rPr>
        <w:t xml:space="preserve"> 2012)</w:t>
      </w:r>
      <w:r w:rsidR="00A37DE1" w:rsidRPr="00E67E82">
        <w:rPr>
          <w:rStyle w:val="Strong"/>
          <w:b w:val="0"/>
          <w:bCs w:val="0"/>
          <w:sz w:val="20"/>
          <w:szCs w:val="20"/>
        </w:rPr>
        <w:fldChar w:fldCharType="end"/>
      </w:r>
      <w:r w:rsidR="00A37DE1" w:rsidRPr="00E67E82">
        <w:rPr>
          <w:rStyle w:val="Strong"/>
          <w:b w:val="0"/>
          <w:bCs w:val="0"/>
          <w:sz w:val="20"/>
          <w:szCs w:val="20"/>
        </w:rPr>
        <w:t xml:space="preserve">. U uvjetima kiselog pH PTX3 formira trostruki kompleks s fibrinom i plazminogenom što potiče aktivaciju plazminogena i fibrinolizu posredovanu plazminom </w:t>
      </w:r>
      <w:r w:rsidR="00A37DE1" w:rsidRPr="00E67E82">
        <w:rPr>
          <w:rStyle w:val="Strong"/>
          <w:b w:val="0"/>
          <w:bCs w:val="0"/>
          <w:sz w:val="20"/>
          <w:szCs w:val="20"/>
        </w:rPr>
        <w:fldChar w:fldCharType="begin" w:fldLock="1"/>
      </w:r>
      <w:r w:rsidR="00F41B60">
        <w:rPr>
          <w:rStyle w:val="Strong"/>
          <w:b w:val="0"/>
          <w:bCs w:val="0"/>
          <w:sz w:val="20"/>
          <w:szCs w:val="20"/>
        </w:rPr>
        <w:instrText>ADDIN CSL_CITATION {"citationItems":[{"id":"ITEM-1","itemData":{"DOI":"10.1084/jem.20141268","ISSN":"0022-1007","abstract":"Pentraxin 3 (PTX3) is a fluid-phase pattern recognition molecule and a key component of the humoral arm of innate immunity. In four different models of tissue damage in mice, PTX3 deficiency was associated with increased fibrin deposition and persistence, and thicker clots, followed by increased collagen deposition, when compared with controls. Ptx3-deficient macrophages showed defective pericellular fibrinolysis in vitro. PTX3-bound fibrinogen/fibrin and plasminogen at acidic pH and increased plasmin-mediated fibrinolysis. The second exon-encoded N-terminal domain of PTX3 recapitulated the activity of the intact molecule. Thus, a prototypic component of humoral innate immunity, PTX3, plays a nonredundant role in the orchestration of tissue repair and remodeling. Tissue acidification resulting from metabolic adaptation during tissue repair sets PTX3 in a tissue remodeling and repair mode, suggesting that matrix and microbial recognition are common, ancestral features of the humoral arm of innate immunity.","author":[{"dropping-particle":"","family":"Doni","given":"Andrea","non-dropping-particle":"","parse-names":false,"suffix":""},{"dropping-particle":"","family":"Musso","given":"Tiziana","non-dropping-particle":"","parse-names":false,"suffix":""},{"dropping-particle":"","family":"Morone","given":"Diego","non-dropping-particle":"","parse-names":false,"suffix":""},{"dropping-particle":"","family":"Bastone","given":"Antonio","non-dropping-particle":"","parse-names":false,"suffix":""},{"dropping-particle":"","family":"Zambelli","given":"Vanessa","non-dropping-particle":"","parse-names":false,"suffix":""},{"dropping-particle":"","family":"Sironi","given":"Marina","non-dropping-particle":"","parse-names":false,"suffix":""},{"dropping-particle":"","family":"Castagnoli","given":"Carlotta","non-dropping-particle":"","parse-names":false,"suffix":""},{"dropping-particle":"","family":"Cambieri","given":"Irene","non-dropping-particle":"","parse-names":false,"suffix":""},{"dropping-particle":"","family":"Stravalaci","given":"Matteo","non-dropping-particle":"","parse-names":false,"suffix":""},{"dropping-particle":"","family":"Pasqualini","given":"Fabio","non-dropping-particle":"","parse-names":false,"suffix":""},{"dropping-particle":"","family":"Laface","given":"Ilaria","non-dropping-particle":"","parse-names":false,"suffix":""},{"dropping-particle":"","family":"Valentino","given":"Sonia","non-dropping-particle":"","parse-names":false,"suffix":""},{"dropping-particle":"","family":"Tartari","given":"Silvia","non-dropping-particle":"","parse-names":false,"suffix":""},{"dropping-particle":"","family":"Ponzetta","given":"Andrea","non-dropping-particle":"","parse-names":false,"suffix":""},{"dropping-particle":"","family":"Maina","given":"Virginia","non-dropping-particle":"","parse-names":false,"suffix":""},{"dropping-particle":"","family":"Barbieri","given":"Silvia S.","non-dropping-particle":"","parse-names":false,"suffix":""},{"dropping-particle":"","family":"Tremoli","given":"Elena","non-dropping-particle":"","parse-names":false,"suffix":""},{"dropping-particle":"","family":"Catapano","given":"Alberico L.","non-dropping-particle":"","parse-names":false,"suffix":""},{"dropping-particle":"","family":"Norata","given":"Giuseppe D.","non-dropping-particle":"","parse-names":false,"suffix":""},{"dropping-particle":"","family":"Bottazzi","given":"Barbara","non-dropping-particle":"","parse-names":false,"suffix":""},{"dropping-particle":"","family":"Garlanda","given":"Cecilia","non-dropping-particle":"","parse-names":false,"suffix":""},{"dropping-particle":"","family":"Mantovani","given":"Alberto","non-dropping-particle":"","parse-names":false,"suffix":""}],"container-title":"The Journal of Experimental Medicine","id":"ITEM-1","issue":"6","issued":{"date-parts":[["2015"]]},"page":"905-925","title":"An acidic microenvironment sets the humoral pattern recognition molecule PTX3 in a tissue repair mode","type":"article-journal","volume":"212"},"uris":["http://www.mendeley.com/documents/?uuid=37c79d2e-a97f-41a1-8697-1f3519ca5fbc"]}],"mendeley":{"formattedCitation":"(Doni &lt;i&gt;et al.&lt;/i&gt;, 2015)","manualFormatting":"(Doni i sur., 2015)","plainTextFormattedCitation":"(Doni et al., 2015)","previouslyFormattedCitation":"(Doni &lt;i&gt;et al.&lt;/i&gt;, 2015)"},"properties":{"noteIndex":0},"schema":"https://github.com/citation-style-language/schema/raw/master/csl-citation.json"}</w:instrText>
      </w:r>
      <w:r w:rsidR="00A37DE1" w:rsidRPr="00E67E82">
        <w:rPr>
          <w:rStyle w:val="Strong"/>
          <w:b w:val="0"/>
          <w:bCs w:val="0"/>
          <w:sz w:val="20"/>
          <w:szCs w:val="20"/>
        </w:rPr>
        <w:fldChar w:fldCharType="separate"/>
      </w:r>
      <w:r w:rsidR="00A37DE1" w:rsidRPr="00E67E82">
        <w:rPr>
          <w:rStyle w:val="Strong"/>
          <w:b w:val="0"/>
          <w:bCs w:val="0"/>
          <w:noProof/>
          <w:sz w:val="20"/>
          <w:szCs w:val="20"/>
        </w:rPr>
        <w:t xml:space="preserve">(Doni </w:t>
      </w:r>
      <w:r w:rsidR="003F4A87">
        <w:rPr>
          <w:rStyle w:val="Strong"/>
          <w:b w:val="0"/>
          <w:bCs w:val="0"/>
          <w:i/>
          <w:noProof/>
          <w:sz w:val="20"/>
          <w:szCs w:val="20"/>
        </w:rPr>
        <w:t>i sur.,</w:t>
      </w:r>
      <w:r w:rsidR="00A37DE1" w:rsidRPr="00E67E82">
        <w:rPr>
          <w:rStyle w:val="Strong"/>
          <w:b w:val="0"/>
          <w:bCs w:val="0"/>
          <w:noProof/>
          <w:sz w:val="20"/>
          <w:szCs w:val="20"/>
        </w:rPr>
        <w:t xml:space="preserve"> 2015)</w:t>
      </w:r>
      <w:r w:rsidR="00A37DE1" w:rsidRPr="00E67E82">
        <w:rPr>
          <w:rStyle w:val="Strong"/>
          <w:b w:val="0"/>
          <w:bCs w:val="0"/>
          <w:sz w:val="20"/>
          <w:szCs w:val="20"/>
        </w:rPr>
        <w:fldChar w:fldCharType="end"/>
      </w:r>
      <w:r w:rsidR="00A37DE1" w:rsidRPr="00E67E82">
        <w:rPr>
          <w:rStyle w:val="Strong"/>
          <w:b w:val="0"/>
          <w:bCs w:val="0"/>
          <w:sz w:val="20"/>
          <w:szCs w:val="20"/>
        </w:rPr>
        <w:t xml:space="preserve">. Konačno, </w:t>
      </w:r>
      <w:r w:rsidR="00A37DE1" w:rsidRPr="00E67E82">
        <w:rPr>
          <w:rStyle w:val="Strong"/>
          <w:b w:val="0"/>
          <w:sz w:val="20"/>
          <w:szCs w:val="20"/>
        </w:rPr>
        <w:t xml:space="preserve">PTX3 može direktno stimulirati endotelne stanice i makrofage vežući se za Fcγ receptor </w:t>
      </w:r>
      <w:r w:rsidR="00A37DE1" w:rsidRPr="00E67E82">
        <w:rPr>
          <w:rStyle w:val="Strong"/>
          <w:b w:val="0"/>
          <w:sz w:val="20"/>
          <w:szCs w:val="20"/>
        </w:rPr>
        <w:fldChar w:fldCharType="begin" w:fldLock="1"/>
      </w:r>
      <w:r w:rsidR="00F41B60">
        <w:rPr>
          <w:rStyle w:val="Strong"/>
          <w:b w:val="0"/>
          <w:sz w:val="20"/>
          <w:szCs w:val="20"/>
        </w:rPr>
        <w:instrText>ADDIN CSL_CITATION {"citationItems":[{"id":"ITEM-1","itemData":{"DOI":"10.1038/nature07468","ISSN":"00280836","abstract":"Pentraxins are a family of ancient innate immune mediators conserved throughout evolution. The classical pentraxins include serum amyloid P component (SAP) and C-reactive protein, which are two of the acute-phase proteins synthesized in response to infection. Both recognize microbial pathogens and activate the classical complement pathway through C1q (refs 3 and 4). More recently, members of the pentraxin family were found to interact with cell-surface Fcgamma receptors (FcgammaR) and activate leukocyte-mediated phagocytosis. Here we describe the structural mechanism for pentraxin's binding to FcgammaR and its functional activation of FcgammaR-mediated phagocytosis and cytokine secretion. The complex structure between human SAP and FcgammaRIIa reveals a diagonally bound receptor on each SAP pentamer with both D1 and D2 domains of the receptor contacting the ridge helices from two SAP subunits. The 1:1 stoichiometry between SAP and FcgammaRIIa infers the requirement for multivalent pathogen binding for receptor aggregation. Mutational and binding studies show that pentraxins are diverse in their binding specificity for FcgammaR isoforms but conserved in their recognition structure. The shared binding site for SAP and IgG results in competition for FcgammaR binding and the inhibition of immune-complex-mediated phagocytosis by soluble pentraxins. These results establish antibody-like functions for pentraxins in the FcgammaR pathway, suggest an evolutionary overlap between the innate and adaptive immune systems, and have new therapeutic implications for autoimmune diseases.","author":[{"dropping-particle":"","family":"Lu","given":"Jinghua","non-dropping-particle":"","parse-names":false,"suffix":""},{"dropping-particle":"","family":"Marnell","given":"Lorraine L.","non-dropping-particle":"","parse-names":false,"suffix":""},{"dropping-particle":"","family":"Marjon","given":"Kristopher D.","non-dropping-particle":"","parse-names":false,"suffix":""},{"dropping-particle":"","family":"Mold","given":"Carolyn","non-dropping-particle":"","parse-names":false,"suffix":""},{"dropping-particle":"","family":"Clos","given":"Terry W.","non-dropping-particle":"Du","parse-names":false,"suffix":""},{"dropping-particle":"","family":"Sun","given":"Peter D.","non-dropping-particle":"","parse-names":false,"suffix":""}],"container-title":"Nature","id":"ITEM-1","issue":"7224","issued":{"date-parts":[["2008"]]},"page":"989-992","publisher":"Nature Publishing Group","title":"Structural recognition and functional activation of FcγR by innate pentraxins","type":"article-journal","volume":"456"},"uris":["http://www.mendeley.com/documents/?uuid=d99f841a-8871-4b2b-a55b-be4acc47b99e"]}],"mendeley":{"formattedCitation":"(Lu &lt;i&gt;et al.&lt;/i&gt;, 2008)","manualFormatting":"(Lu i sur., 2008)","plainTextFormattedCitation":"(Lu et al., 2008)","previouslyFormattedCitation":"(Lu &lt;i&gt;et al.&lt;/i&gt;, 2008)"},"properties":{"noteIndex":0},"schema":"https://github.com/citation-style-language/schema/raw/master/csl-citation.json"}</w:instrText>
      </w:r>
      <w:r w:rsidR="00A37DE1" w:rsidRPr="00E67E82">
        <w:rPr>
          <w:rStyle w:val="Strong"/>
          <w:b w:val="0"/>
          <w:sz w:val="20"/>
          <w:szCs w:val="20"/>
        </w:rPr>
        <w:fldChar w:fldCharType="separate"/>
      </w:r>
      <w:r w:rsidR="00A37DE1" w:rsidRPr="00E67E82">
        <w:rPr>
          <w:rStyle w:val="Strong"/>
          <w:b w:val="0"/>
          <w:noProof/>
          <w:sz w:val="20"/>
          <w:szCs w:val="20"/>
        </w:rPr>
        <w:t xml:space="preserve">(Lu </w:t>
      </w:r>
      <w:r w:rsidR="003F4A87">
        <w:rPr>
          <w:rStyle w:val="Strong"/>
          <w:b w:val="0"/>
          <w:i/>
          <w:noProof/>
          <w:sz w:val="20"/>
          <w:szCs w:val="20"/>
        </w:rPr>
        <w:t>i sur.,</w:t>
      </w:r>
      <w:r w:rsidR="00A37DE1" w:rsidRPr="00E67E82">
        <w:rPr>
          <w:rStyle w:val="Strong"/>
          <w:b w:val="0"/>
          <w:noProof/>
          <w:sz w:val="20"/>
          <w:szCs w:val="20"/>
        </w:rPr>
        <w:t xml:space="preserve"> 2008)</w:t>
      </w:r>
      <w:r w:rsidR="00A37DE1" w:rsidRPr="00E67E82">
        <w:rPr>
          <w:rStyle w:val="Strong"/>
          <w:b w:val="0"/>
          <w:sz w:val="20"/>
          <w:szCs w:val="20"/>
        </w:rPr>
        <w:fldChar w:fldCharType="end"/>
      </w:r>
      <w:r w:rsidR="00A37DE1" w:rsidRPr="00E67E82">
        <w:rPr>
          <w:rStyle w:val="Strong"/>
          <w:b w:val="0"/>
          <w:sz w:val="20"/>
          <w:szCs w:val="20"/>
        </w:rPr>
        <w:t xml:space="preserve">. Uzevši u obzir pleotropnost funkcija i interakcija ovog proteina, izvjesna je njegova uloga u različitim patološkim stanjima, prvenstveno upalnim i imunološkim. Povezanost između upale i zloćudnih novotvorina pretpostavio je još Virchow 1863. godine </w:t>
      </w:r>
      <w:r w:rsidR="00A37DE1" w:rsidRPr="00E67E82">
        <w:rPr>
          <w:rStyle w:val="Strong"/>
          <w:b w:val="0"/>
          <w:sz w:val="20"/>
          <w:szCs w:val="20"/>
        </w:rPr>
        <w:fldChar w:fldCharType="begin" w:fldLock="1"/>
      </w:r>
      <w:r w:rsidR="00F41B60">
        <w:rPr>
          <w:rStyle w:val="Strong"/>
          <w:b w:val="0"/>
          <w:sz w:val="20"/>
          <w:szCs w:val="20"/>
        </w:rPr>
        <w:instrText>ADDIN CSL_CITATION {"citationItems":[{"id":"ITEM-1","itemData":{"DOI":"10.1016/S0140-6736(00)04046-0","ISSN":"01406736","abstract":"The response of the body to a cancer is not a unique mechanism but has many parallels with inflammation and wound healing. This article reviews the links between cancer and inflammation and discusses the implications of these links for cancer prevention and treatment. We suggest that the inflammatory cells and cytokines found in tumours are more likely to contribute to tumour growth, progression, and immunosuppression than they are to mount an effective host antitumour response. Moreover cancer susceptibility and severity may be associated with functional polymorphisms of inflammatory cytokine genes, and deletion or inhibition of inflammatory cytokines inhibits development of experimental cancer. If genetic damage is the \"match that lights the fire\" of cancer, some types of inflammation may provide the \"fuel that feeds the flames\". Over the past ten years information about the cytokine and chemokine network has led to development of a range of cytokine/chemokine antagonists targeted at inflammatory and allergic diseases. The first of these to enter the clinic, tumour necrosis factor antagonists, have shown encouraging efficacy. In this article we have provided a rationale for the use of cytokine and chemokine blockade, and further investigation of non-steroidal antiinflammatory drugs, in the chemoprevention and treatment of malignant diseases.","author":[{"dropping-particle":"","family":"Balkwill","given":"Fran","non-dropping-particle":"","parse-names":false,"suffix":""},{"dropping-particle":"","family":"Mantovani","given":"Alberto","non-dropping-particle":"","parse-names":false,"suffix":""}],"container-title":"Lancet","id":"ITEM-1","issue":"9255","issued":{"date-parts":[["2001"]]},"page":"539-545","title":"Inflammation and cancer: Back to Virchow?","type":"article-journal","volume":"357"},"uris":["http://www.mendeley.com/documents/?uuid=b0ba9460-969e-44c7-bb6a-31537aa90197"]}],"mendeley":{"formattedCitation":"(Balkwill and Mantovani, 2001)","manualFormatting":"(Balkwill i Mantovani, 2001)","plainTextFormattedCitation":"(Balkwill and Mantovani, 2001)","previouslyFormattedCitation":"(Balkwill and Mantovani, 2001)"},"properties":{"noteIndex":0},"schema":"https://github.com/citation-style-language/schema/raw/master/csl-citation.json"}</w:instrText>
      </w:r>
      <w:r w:rsidR="00A37DE1" w:rsidRPr="00E67E82">
        <w:rPr>
          <w:rStyle w:val="Strong"/>
          <w:b w:val="0"/>
          <w:sz w:val="20"/>
          <w:szCs w:val="20"/>
        </w:rPr>
        <w:fldChar w:fldCharType="separate"/>
      </w:r>
      <w:r w:rsidR="00A37DE1" w:rsidRPr="00E67E82">
        <w:rPr>
          <w:rStyle w:val="Strong"/>
          <w:b w:val="0"/>
          <w:noProof/>
          <w:sz w:val="20"/>
          <w:szCs w:val="20"/>
        </w:rPr>
        <w:t xml:space="preserve">(Balkwill </w:t>
      </w:r>
      <w:r w:rsidR="003F4A87">
        <w:rPr>
          <w:rStyle w:val="Strong"/>
          <w:b w:val="0"/>
          <w:noProof/>
          <w:sz w:val="20"/>
          <w:szCs w:val="20"/>
        </w:rPr>
        <w:t>i</w:t>
      </w:r>
      <w:r w:rsidR="00A37DE1" w:rsidRPr="00E67E82">
        <w:rPr>
          <w:rStyle w:val="Strong"/>
          <w:b w:val="0"/>
          <w:noProof/>
          <w:sz w:val="20"/>
          <w:szCs w:val="20"/>
        </w:rPr>
        <w:t xml:space="preserve"> Mantovani, 2001)</w:t>
      </w:r>
      <w:r w:rsidR="00A37DE1" w:rsidRPr="00E67E82">
        <w:rPr>
          <w:rStyle w:val="Strong"/>
          <w:b w:val="0"/>
          <w:sz w:val="20"/>
          <w:szCs w:val="20"/>
        </w:rPr>
        <w:fldChar w:fldCharType="end"/>
      </w:r>
      <w:r w:rsidR="00A37DE1" w:rsidRPr="00E67E82">
        <w:rPr>
          <w:rStyle w:val="Strong"/>
          <w:b w:val="0"/>
          <w:sz w:val="20"/>
          <w:szCs w:val="20"/>
        </w:rPr>
        <w:t xml:space="preserve">. Epidemiološke studije pokazale su da je kronična upala predisponirajući čimbenik za neke tipove zloćudnih novotvorina. Kao što je ranije navedeno, kronična infekcija bakterijom </w:t>
      </w:r>
      <w:r w:rsidR="00A37DE1" w:rsidRPr="00E67E82">
        <w:rPr>
          <w:rStyle w:val="Strong"/>
          <w:b w:val="0"/>
          <w:i/>
          <w:sz w:val="20"/>
          <w:szCs w:val="20"/>
        </w:rPr>
        <w:t>H. pylori</w:t>
      </w:r>
      <w:r w:rsidR="00A37DE1" w:rsidRPr="00E67E82">
        <w:rPr>
          <w:rStyle w:val="Strong"/>
          <w:b w:val="0"/>
          <w:sz w:val="20"/>
          <w:szCs w:val="20"/>
        </w:rPr>
        <w:t xml:space="preserve"> najčešći je uzrok karcinoma želuca u svijetu. Osim toga, kronična infekcija ovom bakterijom povezuje se i s razvojem MALT limfoma želuca</w:t>
      </w:r>
      <w:r w:rsidR="00FF5FDA" w:rsidRPr="00E67E82">
        <w:rPr>
          <w:rStyle w:val="Strong"/>
          <w:b w:val="0"/>
          <w:sz w:val="20"/>
          <w:szCs w:val="20"/>
        </w:rPr>
        <w:t>.</w:t>
      </w:r>
      <w:r w:rsidR="00A37DE1" w:rsidRPr="00E67E82">
        <w:rPr>
          <w:rStyle w:val="Strong"/>
          <w:b w:val="0"/>
          <w:sz w:val="20"/>
          <w:szCs w:val="20"/>
        </w:rPr>
        <w:t xml:space="preserve"> Općenito, tumorski mikrookoliš bogat upalnim stanicama i faktorima rasta ima važnu ulogu u fazama promoc</w:t>
      </w:r>
      <w:r w:rsidR="004F24E8">
        <w:rPr>
          <w:rStyle w:val="Strong"/>
          <w:b w:val="0"/>
          <w:sz w:val="20"/>
          <w:szCs w:val="20"/>
        </w:rPr>
        <w:t xml:space="preserve">ije i progresije tumorskog rasta. </w:t>
      </w:r>
      <w:r w:rsidR="00A37DE1" w:rsidRPr="00E67E82">
        <w:rPr>
          <w:rStyle w:val="Strong"/>
          <w:b w:val="0"/>
          <w:sz w:val="20"/>
          <w:szCs w:val="20"/>
        </w:rPr>
        <w:t>Poremećaj regulacije upalne reakcije u stromi tumori analogan je rani koja cijeli, ali nikako ne zacjeljuje</w:t>
      </w:r>
      <w:r w:rsidR="00517381" w:rsidRPr="00E67E82">
        <w:rPr>
          <w:rStyle w:val="Strong"/>
          <w:b w:val="0"/>
          <w:sz w:val="20"/>
          <w:szCs w:val="20"/>
        </w:rPr>
        <w:t xml:space="preserve"> </w:t>
      </w:r>
      <w:r w:rsidR="00517381" w:rsidRPr="00E67E82">
        <w:rPr>
          <w:rStyle w:val="Strong"/>
          <w:b w:val="0"/>
          <w:sz w:val="20"/>
          <w:szCs w:val="20"/>
        </w:rPr>
        <w:fldChar w:fldCharType="begin" w:fldLock="1"/>
      </w:r>
      <w:r w:rsidR="00714985" w:rsidRPr="00E67E82">
        <w:rPr>
          <w:rStyle w:val="Strong"/>
          <w:b w:val="0"/>
          <w:sz w:val="20"/>
          <w:szCs w:val="20"/>
        </w:rPr>
        <w:instrText>ADDIN CSL_CITATION {"citationItems":[{"id":"ITEM-1","itemData":{"author":[{"dropping-particle":"","family":"Dvorak","given":"Harold F.","non-dropping-particle":"","parse-names":false,"suffix":""}],"container-title":"The New England Journal of Medicine","id":"ITEM-1","issued":{"date-parts":[["1986"]]},"title":"Similarities between Tumour Stroma Generation and Wound Healing","type":"article-journal"},"uris":["http://www.mendeley.com/documents/?uuid=14d4a0ab-94ed-4711-80b8-3b6684c1b8e0"]}],"mendeley":{"formattedCitation":"(Dvorak, 1986)","plainTextFormattedCitation":"(Dvorak, 1986)","previouslyFormattedCitation":"(Dvorak, 1986)"},"properties":{"noteIndex":0},"schema":"https://github.com/citation-style-language/schema/raw/master/csl-citation.json"}</w:instrText>
      </w:r>
      <w:r w:rsidR="00517381" w:rsidRPr="00E67E82">
        <w:rPr>
          <w:rStyle w:val="Strong"/>
          <w:b w:val="0"/>
          <w:sz w:val="20"/>
          <w:szCs w:val="20"/>
        </w:rPr>
        <w:fldChar w:fldCharType="separate"/>
      </w:r>
      <w:r w:rsidR="00517381" w:rsidRPr="00E67E82">
        <w:rPr>
          <w:rStyle w:val="Strong"/>
          <w:b w:val="0"/>
          <w:noProof/>
          <w:sz w:val="20"/>
          <w:szCs w:val="20"/>
        </w:rPr>
        <w:t>(Dvorak, 1986)</w:t>
      </w:r>
      <w:r w:rsidR="00517381" w:rsidRPr="00E67E82">
        <w:rPr>
          <w:rStyle w:val="Strong"/>
          <w:b w:val="0"/>
          <w:sz w:val="20"/>
          <w:szCs w:val="20"/>
        </w:rPr>
        <w:fldChar w:fldCharType="end"/>
      </w:r>
      <w:r w:rsidR="00517381" w:rsidRPr="00E67E82">
        <w:rPr>
          <w:rStyle w:val="Strong"/>
          <w:b w:val="0"/>
          <w:sz w:val="20"/>
          <w:szCs w:val="20"/>
        </w:rPr>
        <w:t xml:space="preserve">. </w:t>
      </w:r>
      <w:r w:rsidR="00A37DE1" w:rsidRPr="00E67E82">
        <w:rPr>
          <w:rStyle w:val="Strong"/>
          <w:b w:val="0"/>
          <w:sz w:val="20"/>
          <w:szCs w:val="20"/>
        </w:rPr>
        <w:t>Uloga PTX3 u tumorigenezi još je kontroverzna. Čini se da PTX3 ima dvojaku ulogu: tumorsupresorsku i tumorpromotorsku, ovisno o tipu tumora, staničnom podrijetlu i kontekstu, tj. ravnoteži između mnogobrojnih čim</w:t>
      </w:r>
      <w:r w:rsidR="00714985" w:rsidRPr="00E67E82">
        <w:rPr>
          <w:rStyle w:val="Strong"/>
          <w:b w:val="0"/>
          <w:sz w:val="20"/>
          <w:szCs w:val="20"/>
        </w:rPr>
        <w:t xml:space="preserve">benika mikrookoliša </w:t>
      </w:r>
      <w:r w:rsidR="00714985" w:rsidRPr="00E67E82">
        <w:rPr>
          <w:rStyle w:val="Strong"/>
          <w:b w:val="0"/>
          <w:sz w:val="20"/>
          <w:szCs w:val="20"/>
        </w:rPr>
        <w:fldChar w:fldCharType="begin" w:fldLock="1"/>
      </w:r>
      <w:r w:rsidR="00F41B60">
        <w:rPr>
          <w:rStyle w:val="Strong"/>
          <w:b w:val="0"/>
          <w:sz w:val="20"/>
          <w:szCs w:val="20"/>
        </w:rPr>
        <w:instrText>ADDIN CSL_CITATION {"citationItems":[{"id":"ITEM-1","itemData":{"DOI":"10.1016/j.bbcan.2017.11.004","ISSN":"18792561","abstract":"Since its discovery in 1992, long pentraxin 3 (PTX3) has been characterized as soluble patter recognition receptor, a key player of the innate immunity arm with non-redundant functions in pathogen recognition and inflammatory responses. As a component of the extra-cellular matrix milieu, PTX3 has been implicated also in wound healing/tissue remodeling, cardiovascular diseases, fertility, and infectious diseases. Consequently, PTX3 levels in biological fluids have been proposed as a fluid-phase biomarker in different pathological conditions. In the last decade, experimental evidences have shown that PTX3 may exert a significant impact also on different aspects of cancer biology, including tumor onset, angiogenesis, metastatic dissemination and immune-modulation. However, it remains unclear whether PTX3 acts as a good cop or bad cop in cancer. In this review, we will summarize and discuss the scientific literature data focusing on the role of PTX3 in experimental and human tumors, including its putative translational implications.","author":[{"dropping-particle":"","family":"Giacomini","given":"Arianna","non-dropping-particle":"","parse-names":false,"suffix":""},{"dropping-particle":"","family":"Ghedini","given":"Gaia Cristina","non-dropping-particle":"","parse-names":false,"suffix":""},{"dropping-particle":"","family":"Presta","given":"Marco","non-dropping-particle":"","parse-names":false,"suffix":""},{"dropping-particle":"","family":"Ronca","given":"Roberto","non-dropping-particle":"","parse-names":false,"suffix":""}],"container-title":"Biochimica et Biophysica Acta - Reviews on Cancer","id":"ITEM-1","issue":"1","issued":{"date-parts":[["2018"]]},"page":"53-63","publisher":"Elsevier","title":"Long pentraxin 3: A novel multifaceted player in cancer","type":"article-journal","volume":"1869"},"uris":["http://www.mendeley.com/documents/?uuid=a10b75f2-5203-49f4-b53a-8fbb8d06ad3e"]}],"mendeley":{"formattedCitation":"(Giacomini &lt;i&gt;et al.&lt;/i&gt;, 2018)","manualFormatting":"(Giacomini i sur., 2018)","plainTextFormattedCitation":"(Giacomini et al., 2018)","previouslyFormattedCitation":"(Giacomini &lt;i&gt;et al.&lt;/i&gt;, 2018)"},"properties":{"noteIndex":0},"schema":"https://github.com/citation-style-language/schema/raw/master/csl-citation.json"}</w:instrText>
      </w:r>
      <w:r w:rsidR="00714985" w:rsidRPr="00E67E82">
        <w:rPr>
          <w:rStyle w:val="Strong"/>
          <w:b w:val="0"/>
          <w:sz w:val="20"/>
          <w:szCs w:val="20"/>
        </w:rPr>
        <w:fldChar w:fldCharType="separate"/>
      </w:r>
      <w:r w:rsidR="00714985" w:rsidRPr="00E67E82">
        <w:rPr>
          <w:rStyle w:val="Strong"/>
          <w:b w:val="0"/>
          <w:noProof/>
          <w:sz w:val="20"/>
          <w:szCs w:val="20"/>
        </w:rPr>
        <w:t xml:space="preserve">(Giacomini </w:t>
      </w:r>
      <w:r w:rsidR="003F4A87">
        <w:rPr>
          <w:rStyle w:val="Strong"/>
          <w:b w:val="0"/>
          <w:i/>
          <w:noProof/>
          <w:sz w:val="20"/>
          <w:szCs w:val="20"/>
        </w:rPr>
        <w:t>i sur.,</w:t>
      </w:r>
      <w:r w:rsidR="00714985" w:rsidRPr="00E67E82">
        <w:rPr>
          <w:rStyle w:val="Strong"/>
          <w:b w:val="0"/>
          <w:noProof/>
          <w:sz w:val="20"/>
          <w:szCs w:val="20"/>
        </w:rPr>
        <w:t xml:space="preserve"> 2018)</w:t>
      </w:r>
      <w:r w:rsidR="00714985" w:rsidRPr="00E67E82">
        <w:rPr>
          <w:rStyle w:val="Strong"/>
          <w:b w:val="0"/>
          <w:sz w:val="20"/>
          <w:szCs w:val="20"/>
        </w:rPr>
        <w:fldChar w:fldCharType="end"/>
      </w:r>
      <w:r w:rsidR="00714985" w:rsidRPr="00E67E82">
        <w:rPr>
          <w:rStyle w:val="Strong"/>
          <w:b w:val="0"/>
          <w:sz w:val="20"/>
          <w:szCs w:val="20"/>
        </w:rPr>
        <w:t xml:space="preserve">. </w:t>
      </w:r>
      <w:r w:rsidR="00A37DE1" w:rsidRPr="00E67E82">
        <w:rPr>
          <w:rStyle w:val="Strong"/>
          <w:b w:val="0"/>
          <w:sz w:val="20"/>
          <w:szCs w:val="20"/>
        </w:rPr>
        <w:t>Primjerice, postoje studije koje su pokazale da se u određenim tipovima tumora PTX3 ponaša kao tumorsupresor. Na mišjem modelu pokazano je da je tumorigeni i metastatski potencijal FGF-ovisnog melanoma bio značajno povećan kad su tumorske stanice transpl</w:t>
      </w:r>
      <w:r w:rsidR="006C03E8">
        <w:rPr>
          <w:rStyle w:val="Strong"/>
          <w:b w:val="0"/>
          <w:sz w:val="20"/>
          <w:szCs w:val="20"/>
        </w:rPr>
        <w:t xml:space="preserve">antirane </w:t>
      </w:r>
      <w:r w:rsidR="00714985" w:rsidRPr="00E67E82">
        <w:rPr>
          <w:rStyle w:val="Strong"/>
          <w:b w:val="0"/>
          <w:sz w:val="20"/>
          <w:szCs w:val="20"/>
        </w:rPr>
        <w:t xml:space="preserve">Ptx3-/- miševima </w:t>
      </w:r>
      <w:r w:rsidR="00714985" w:rsidRPr="00E67E82">
        <w:rPr>
          <w:rStyle w:val="Strong"/>
          <w:b w:val="0"/>
          <w:sz w:val="20"/>
          <w:szCs w:val="20"/>
        </w:rPr>
        <w:fldChar w:fldCharType="begin" w:fldLock="1"/>
      </w:r>
      <w:r w:rsidR="00F41B60">
        <w:rPr>
          <w:rStyle w:val="Strong"/>
          <w:b w:val="0"/>
          <w:sz w:val="20"/>
          <w:szCs w:val="20"/>
        </w:rPr>
        <w:instrText>ADDIN CSL_CITATION {"citationItems":[{"id":"ITEM-1","itemData":{"DOI":"10.1016/j.ccell.2015.07.002","ISSN":"18783686","abstract":"The fibroblast growth factor (FGF)/FGF receptor (FGFR) system plays a crucial role in cancer by affecting tumor growth, angiogenesis, drug resistance, and escape from anti-angiogenic anti-vascular endothelial growth factor therapy. The soluble pattern recognition receptor long-pentraxin 3 (PTX3) acts as a multi-FGF antagonist. Here we demonstrate that human PTX3 overexpression in transgenic mice driven by the Tie2 promoter inhibits tumor growth, angiogenesis, and metastasis in heterotopic, orthotopic, and autochthonous FGF-dependent tumor models. Using pharmacophore modeling of the interaction of a minimal PTX3-derived FGF-binding pentapeptide with FGF2, we identified a small-molecule chemical (NSC12) that acts as an extracellular FGF trap with significant implications in cancer therapy. Ronca et al. show that overexpression of long-pentraxin 3 (PTX3) in mice inhibits the growth of FGF-dependent tumor models. On the basis of pharmacophore modeling of PTX3-FGF2 interaction, they identify a small molecule that acts as an extracellular FGF trap and inhibits FGF-dependent tumor growth in mice.","author":[{"dropping-particle":"","family":"Ronca","given":"Roberto","non-dropping-particle":"","parse-names":false,"suffix":""},{"dropping-particle":"","family":"Giacomini","given":"Arianna","non-dropping-particle":"","parse-names":false,"suffix":""},{"dropping-particle":"","family":"Salle","given":"Emanuela","non-dropping-particle":"Di","parse-names":false,"suffix":""},{"dropping-particle":"","family":"Coltrini","given":"Daniela","non-dropping-particle":"","parse-names":false,"suffix":""},{"dropping-particle":"","family":"Pagano","given":"Katiuscia","non-dropping-particle":"","parse-names":false,"suffix":""},{"dropping-particle":"","family":"Ragona","given":"Laura","non-dropping-particle":"","parse-names":false,"suffix":""},{"dropping-particle":"","family":"Matarazzo","given":"Sara","non-dropping-particle":"","parse-names":false,"suffix":""},{"dropping-particle":"","family":"Rezzola","given":"Sara","non-dropping-particle":"","parse-names":false,"suffix":""},{"dropping-particle":"","family":"Maiolo","given":"Daniele","non-dropping-particle":"","parse-names":false,"suffix":""},{"dropping-particle":"","family":"Torrella","given":"Rubben","non-dropping-particle":"","parse-names":false,"suffix":""},{"dropping-particle":"","family":"Moroni","given":"Elisabetta","non-dropping-particle":"","parse-names":false,"suffix":""},{"dropping-particle":"","family":"Mazzieri","given":"Roberta","non-dropping-particle":"","parse-names":false,"suffix":""},{"dropping-particle":"","family":"Escobar","given":"Giulia","non-dropping-particle":"","parse-names":false,"suffix":""},{"dropping-particle":"","family":"Mor","given":"Marco","non-dropping-particle":"","parse-names":false,"suffix":""},{"dropping-particle":"","family":"Colombo","given":"Giorgio","non-dropping-particle":"","parse-names":false,"suffix":""},{"dropping-particle":"","family":"Presta","given":"Marco","non-dropping-particle":"","parse-names":false,"suffix":""}],"container-title":"Cancer Cell","id":"ITEM-1","issue":"2","issued":{"date-parts":[["2015"]]},"page":"225-239","publisher":"Elsevier Inc.","title":"Long-Pentraxin 3 Derivative as a Small-Molecule FGF Trap for Cancer Therapy","type":"article-journal","volume":"28"},"uris":["http://www.mendeley.com/documents/?uuid=afd96846-0ae8-49ac-86b7-b5b05d308cc8"]}],"mendeley":{"formattedCitation":"(Ronca &lt;i&gt;et al.&lt;/i&gt;, 2015)","manualFormatting":"(Ronca i sur., 2015)","plainTextFormattedCitation":"(Ronca et al., 2015)","previouslyFormattedCitation":"(Ronca &lt;i&gt;et al.&lt;/i&gt;, 2015)"},"properties":{"noteIndex":0},"schema":"https://github.com/citation-style-language/schema/raw/master/csl-citation.json"}</w:instrText>
      </w:r>
      <w:r w:rsidR="00714985" w:rsidRPr="00E67E82">
        <w:rPr>
          <w:rStyle w:val="Strong"/>
          <w:b w:val="0"/>
          <w:sz w:val="20"/>
          <w:szCs w:val="20"/>
        </w:rPr>
        <w:fldChar w:fldCharType="separate"/>
      </w:r>
      <w:r w:rsidR="00714985" w:rsidRPr="00E67E82">
        <w:rPr>
          <w:rStyle w:val="Strong"/>
          <w:b w:val="0"/>
          <w:noProof/>
          <w:sz w:val="20"/>
          <w:szCs w:val="20"/>
        </w:rPr>
        <w:t xml:space="preserve">(Ronca </w:t>
      </w:r>
      <w:r w:rsidR="003F4A87">
        <w:rPr>
          <w:rStyle w:val="Strong"/>
          <w:b w:val="0"/>
          <w:i/>
          <w:noProof/>
          <w:sz w:val="20"/>
          <w:szCs w:val="20"/>
        </w:rPr>
        <w:t>i sur.,</w:t>
      </w:r>
      <w:r w:rsidR="00714985" w:rsidRPr="00E67E82">
        <w:rPr>
          <w:rStyle w:val="Strong"/>
          <w:b w:val="0"/>
          <w:noProof/>
          <w:sz w:val="20"/>
          <w:szCs w:val="20"/>
        </w:rPr>
        <w:t xml:space="preserve"> 2015)</w:t>
      </w:r>
      <w:r w:rsidR="00714985" w:rsidRPr="00E67E82">
        <w:rPr>
          <w:rStyle w:val="Strong"/>
          <w:b w:val="0"/>
          <w:sz w:val="20"/>
          <w:szCs w:val="20"/>
        </w:rPr>
        <w:fldChar w:fldCharType="end"/>
      </w:r>
      <w:r w:rsidR="00714985" w:rsidRPr="00E67E82">
        <w:rPr>
          <w:rStyle w:val="Strong"/>
          <w:b w:val="0"/>
          <w:sz w:val="20"/>
          <w:szCs w:val="20"/>
        </w:rPr>
        <w:t xml:space="preserve">. </w:t>
      </w:r>
      <w:r w:rsidR="00A37DE1" w:rsidRPr="00E67E82">
        <w:rPr>
          <w:rStyle w:val="Strong"/>
          <w:b w:val="0"/>
          <w:sz w:val="20"/>
          <w:szCs w:val="20"/>
        </w:rPr>
        <w:t>Deficit PTX3 kod Ptx3-/- miševa povezan je i s većom vjerojatnošću razvoja karcinoma uslijed izloženosti različitim kožnim kemijskim karcinogenima. Deficit PTX3 rezultirao je pojačanom aktivacijom komplementa, povećanom infiltracijom makrofagima i M2 diferencijacijom, produkcijom citokina i a</w:t>
      </w:r>
      <w:r w:rsidR="00CC23EB" w:rsidRPr="00E67E82">
        <w:rPr>
          <w:rStyle w:val="Strong"/>
          <w:b w:val="0"/>
          <w:sz w:val="20"/>
          <w:szCs w:val="20"/>
        </w:rPr>
        <w:t xml:space="preserve">ngiogenezom </w:t>
      </w:r>
      <w:r w:rsidR="00CC23EB" w:rsidRPr="00E67E82">
        <w:rPr>
          <w:rStyle w:val="Strong"/>
          <w:b w:val="0"/>
          <w:sz w:val="20"/>
          <w:szCs w:val="20"/>
        </w:rPr>
        <w:fldChar w:fldCharType="begin" w:fldLock="1"/>
      </w:r>
      <w:r w:rsidR="00F41B60">
        <w:rPr>
          <w:rStyle w:val="Strong"/>
          <w:b w:val="0"/>
          <w:sz w:val="20"/>
          <w:szCs w:val="20"/>
        </w:rPr>
        <w:instrText>ADDIN CSL_CITATION {"citationItems":[{"id":"ITEM-1","itemData":{"DOI":"10.1016/j.cell.2015.01.004","ISSN":"10974172","abstract":"PTX3 is an essential component of the humoral arm of innate immunity, playing a nonredundant role in resistance against selected microbes and in the regulation of inflammation. PTX3 activates and regulates the Complement cascade by interacting with C1q and with Factor H. PTX3 deficiency was associated with increased susceptibility to mesenchymal and epithelial carcinogenesis. Increased susceptibility of Ptx3-/- mice was associated with enhanced macrophage infiltration, cytokine production, angiogenesis, and Trp53 mutations. Correlative evidence, gene-targeted mice, and pharmacological blocking experiments indicated that PTX3 deficiency resulted in amplification of Complement activation, CCL2 production, and tumor-promoting macrophage recruitment. PTX3 expression was epigenetically regulated in selected human tumors (e.g., leiomyosarcomas and colorectal cancer) by methylation of the promoter region and of a putative enhancer. Thus, PTX3, an effector molecule belonging to the humoral arm of innate immunity, acts as an extrinsic oncosuppressor gene in mouse and man by regulating Complement-dependent, macrophage-sustained, tumor-promoting inflammation. Video Abstract","author":[{"dropping-particle":"","family":"Bonavita","given":"Eduardo","non-dropping-particle":"","parse-names":false,"suffix":""},{"dropping-particle":"","family":"Gentile","given":"Stefania","non-dropping-particle":"","parse-names":false,"suffix":""},{"dropping-particle":"","family":"Rubino","given":"Marcello","non-dropping-particle":"","parse-names":false,"suffix":""},{"dropping-particle":"","family":"Maina","given":"Virginia","non-dropping-particle":"","parse-names":false,"suffix":""},{"dropping-particle":"","family":"Papait","given":"Roberto","non-dropping-particle":"","parse-names":false,"suffix":""},{"dropping-particle":"","family":"Kunderfranco","given":"Paolo","non-dropping-particle":"","parse-names":false,"suffix":""},{"dropping-particle":"","family":"Greco","given":"Carolina","non-dropping-particle":"","parse-names":false,"suffix":""},{"dropping-particle":"","family":"Feruglio","given":"Francesca","non-dropping-particle":"","parse-names":false,"suffix":""},{"dropping-particle":"","family":"Molgora","given":"Martina","non-dropping-particle":"","parse-names":false,"suffix":""},{"dropping-particle":"","family":"Laface","given":"Ilaria","non-dropping-particle":"","parse-names":false,"suffix":""},{"dropping-particle":"","family":"Tartari","given":"Silvia","non-dropping-particle":"","parse-names":false,"suffix":""},{"dropping-particle":"","family":"Doni","given":"Andrea","non-dropping-particle":"","parse-names":false,"suffix":""},{"dropping-particle":"","family":"Pasqualini","given":"Fabio","non-dropping-particle":"","parse-names":false,"suffix":""},{"dropping-particle":"","family":"Barbati","given":"Elisa","non-dropping-particle":"","parse-names":false,"suffix":""},{"dropping-particle":"","family":"Basso","given":"Gianluca","non-dropping-particle":"","parse-names":false,"suffix":""},{"dropping-particle":"","family":"Galdiero","given":"Maria Rosaria","non-dropping-particle":"","parse-names":false,"suffix":""},{"dropping-particle":"","family":"Nebuloni","given":"Manuela","non-dropping-particle":"","parse-names":false,"suffix":""},{"dropping-particle":"","family":"Roncalli","given":"Massimo","non-dropping-particle":"","parse-names":false,"suffix":""},{"dropping-particle":"","family":"Colombo","given":"Piergiuseppe","non-dropping-particle":"","parse-names":false,"suffix":""},{"dropping-particle":"","family":"Laghi","given":"Luigi","non-dropping-particle":"","parse-names":false,"suffix":""},{"dropping-particle":"","family":"Lambris","given":"John D.","non-dropping-particle":"","parse-names":false,"suffix":""},{"dropping-particle":"","family":"Jaillon","given":"Sébastien","non-dropping-particle":"","parse-names":false,"suffix":""},{"dropping-particle":"","family":"Garlanda","given":"Cecilia","non-dropping-particle":"","parse-names":false,"suffix":""},{"dropping-particle":"","family":"Mantovani","given":"Alberto","non-dropping-particle":"","parse-names":false,"suffix":""}],"container-title":"Cell","id":"ITEM-1","issue":"4","issued":{"date-parts":[["2015"]]},"page":"700-714","title":"PTX3 is an extrinsic oncosuppressor regulating complement-dependent inflammation in cancer","type":"article-journal","volume":"160"},"uris":["http://www.mendeley.com/documents/?uuid=2acab704-7106-47c2-91df-fa6d1a0fc137"]}],"mendeley":{"formattedCitation":"(Bonavita &lt;i&gt;et al.&lt;/i&gt;, 2015)","manualFormatting":"(Bonavita i sur., 2015)","plainTextFormattedCitation":"(Bonavita et al., 2015)","previouslyFormattedCitation":"(Bonavita &lt;i&gt;et al.&lt;/i&gt;, 2015)"},"properties":{"noteIndex":0},"schema":"https://github.com/citation-style-language/schema/raw/master/csl-citation.json"}</w:instrText>
      </w:r>
      <w:r w:rsidR="00CC23EB" w:rsidRPr="00E67E82">
        <w:rPr>
          <w:rStyle w:val="Strong"/>
          <w:b w:val="0"/>
          <w:sz w:val="20"/>
          <w:szCs w:val="20"/>
        </w:rPr>
        <w:fldChar w:fldCharType="separate"/>
      </w:r>
      <w:r w:rsidR="00CC23EB" w:rsidRPr="00E67E82">
        <w:rPr>
          <w:rStyle w:val="Strong"/>
          <w:b w:val="0"/>
          <w:noProof/>
          <w:sz w:val="20"/>
          <w:szCs w:val="20"/>
        </w:rPr>
        <w:t xml:space="preserve">(Bonavita </w:t>
      </w:r>
      <w:r w:rsidR="003F4A87">
        <w:rPr>
          <w:rStyle w:val="Strong"/>
          <w:b w:val="0"/>
          <w:i/>
          <w:noProof/>
          <w:sz w:val="20"/>
          <w:szCs w:val="20"/>
        </w:rPr>
        <w:t>i sur.,</w:t>
      </w:r>
      <w:r w:rsidR="00CC23EB" w:rsidRPr="00E67E82">
        <w:rPr>
          <w:rStyle w:val="Strong"/>
          <w:b w:val="0"/>
          <w:noProof/>
          <w:sz w:val="20"/>
          <w:szCs w:val="20"/>
        </w:rPr>
        <w:t xml:space="preserve"> 2015)</w:t>
      </w:r>
      <w:r w:rsidR="00CC23EB" w:rsidRPr="00E67E82">
        <w:rPr>
          <w:rStyle w:val="Strong"/>
          <w:b w:val="0"/>
          <w:sz w:val="20"/>
          <w:szCs w:val="20"/>
        </w:rPr>
        <w:fldChar w:fldCharType="end"/>
      </w:r>
      <w:r w:rsidR="00CC23EB" w:rsidRPr="00E67E82">
        <w:rPr>
          <w:rStyle w:val="Strong"/>
          <w:b w:val="0"/>
          <w:sz w:val="20"/>
          <w:szCs w:val="20"/>
        </w:rPr>
        <w:t xml:space="preserve">. </w:t>
      </w:r>
      <w:r w:rsidR="00A37DE1" w:rsidRPr="00E67E82">
        <w:rPr>
          <w:rStyle w:val="Strong"/>
          <w:b w:val="0"/>
          <w:sz w:val="20"/>
          <w:szCs w:val="20"/>
        </w:rPr>
        <w:t>Inibicijom FGF2-posredovane proliferacije i angiogeneze PTX3 ostvaruje svoj antiangiogeni učinak i u humanom mel</w:t>
      </w:r>
      <w:r w:rsidR="00CC23EB" w:rsidRPr="00E67E82">
        <w:rPr>
          <w:rStyle w:val="Strong"/>
          <w:b w:val="0"/>
          <w:sz w:val="20"/>
          <w:szCs w:val="20"/>
        </w:rPr>
        <w:t xml:space="preserve">anomu i multiplom mijelomu </w:t>
      </w:r>
      <w:r w:rsidR="00CC23EB" w:rsidRPr="00E67E82">
        <w:rPr>
          <w:rStyle w:val="Strong"/>
          <w:b w:val="0"/>
          <w:sz w:val="20"/>
          <w:szCs w:val="20"/>
        </w:rPr>
        <w:fldChar w:fldCharType="begin" w:fldLock="1"/>
      </w:r>
      <w:r w:rsidR="00F41B60">
        <w:rPr>
          <w:rStyle w:val="Strong"/>
          <w:b w:val="0"/>
          <w:sz w:val="20"/>
          <w:szCs w:val="20"/>
        </w:rPr>
        <w:instrText>ADDIN CSL_CITATION {"citationItems":[{"id":"ITEM-1","itemData":{"DOI":"10.1158/1535-7163.MCT-13-0487","ISSN":"1535-7163","abstract":"During melanoma progression, malignant melanocytes are reprogrammed into mesenchymal-like cells through to an epithelial-mesenchymal transition (EMT) process associated with the acquisition of an invasive, prometastatic phenotype. The fibroblast growth factor-2 (FGF2)/FGF receptor (FGFR) system plays a pivotal role in melanoma, leading to autocrine/paracrine induction of tumor cell proliferation and angiogenesis. Long pentraxin-3 (PTX3) interacts with FGF2, and other FGF family members, inhibiting FGF-dependent neovascularization and tumor growth. Here, PTX3 protein and the PTX3-derived acetylated pentapeptide Ac-ARPCA-NH2 inhibit FGF2-driven proliferation and downstream FGFR signaling in murine melanoma B16-F10 cells. Moreover, human PTX3-overexpressing hPTX_B16-F10 cells are characterized by the reversed transition from a mesenchymal to an epithelial-like appearance, inhibition of cell proliferation, loss of clonogenic potential, reduced motility and invasive capacity, downregulation of various mesenchymal markers, and upregulation of the epithelial marker E-cadherin. Accordingly, PTX3 affects cell proliferation and EMT transition in human A375 and A2058 melanoma cells. Also, hPTX_B16-F10 cells showed a reduced tumorigenic and metastatic activity in syngeneic C57BL/6 mice. In conclusion, PTX3 inhibits FGF/FGFR-driven EMT in melanoma cells, hampering their tumorigenic and metastatic potential. These data represent the first experimental evidence about a nonredundant role of the FGF/FGFR system in the modulation of the EMT process in melanoma and indicate that PTX3 or its derivatives may represent the basis for the design of novel therapeutic approaches in FGF/FGFR-dependent tumors, including melanoma.","author":[{"dropping-particle":"","family":"Ronca","given":"R.","non-dropping-particle":"","parse-names":false,"suffix":""},{"dropping-particle":"","family":"Salle","given":"E.","non-dropping-particle":"Di","parse-names":false,"suffix":""},{"dropping-particle":"","family":"Giacomini","given":"A.","non-dropping-particle":"","parse-names":false,"suffix":""},{"dropping-particle":"","family":"Leali","given":"D.","non-dropping-particle":"","parse-names":false,"suffix":""},{"dropping-particle":"","family":"Alessi","given":"P.","non-dropping-particle":"","parse-names":false,"suffix":""},{"dropping-particle":"","family":"Coltrini","given":"D.","non-dropping-particle":"","parse-names":false,"suffix":""},{"dropping-particle":"","family":"Ravelli","given":"C.","non-dropping-particle":"","parse-names":false,"suffix":""},{"dropping-particle":"","family":"Matarazzo","given":"S.","non-dropping-particle":"","parse-names":false,"suffix":""},{"dropping-particle":"","family":"Ribatti","given":"D.","non-dropping-particle":"","parse-names":false,"suffix":""},{"dropping-particle":"","family":"Vermi","given":"W.","non-dropping-particle":"","parse-names":false,"suffix":""},{"dropping-particle":"","family":"Presta","given":"M.","non-dropping-particle":"","parse-names":false,"suffix":""}],"container-title":"Molecular Cancer Therapeutics","id":"ITEM-1","issue":"12","issued":{"date-parts":[["2013"]]},"page":"2760-2771","title":"Long Pentraxin-3 Inhibits Epithelial-Mesenchymal Transition in Melanoma Cells","type":"article-journal","volume":"12"},"uris":["http://www.mendeley.com/documents/?uuid=ba471d05-db15-49df-9079-747207eb9340"]},{"id":"ITEM-2","itemData":{"DOI":"10.1002/path.4081","ISSN":"00223417","abstract":"Pentraxin 3 (PTX3) is a soluble pattern recognition receptor that binds with high affinity and selectivity to fibroblast growth factor-2 (FGF2), thus inhibiting its pro-angiogenic activity. Here we investigated the effects of PTX3 on monoclonal gammopathy of undetermined significance (MGUS) and multiple myeloma (MM) patient-derived bone marrow (BM) plasma cells (PCs), endothelial cells (ECs), and fibroblasts (FBs), and assessed whether PTX3 can modulate the cross-talk between PCs and those microenvironment cells. PTX3 and FGF2 expression was evaluated by ELISA. Functional studies, including cell viability, wound healing, chemotaxis, and Matrigel(®) assays, were performed on MGUS and MM ECs and FBs upon the PTX3 treatment. Through western blot PTX3-induced modulation in FGF2/FGF receptor signalling pathways was evaluated in MGUS and MM ECs and FBs through western blot. Co-cultures between MM ECs/FBs and human PC lines were used to evaluate possible PTX3 indirect effects on MM PCs. Adhesion molecules were studied by flow cytometry. PTX3 provides a direct time- and dose-dependent apoptotic effect on MM ECs and FBs, but not on either MM primary PCs or human PC lines. PTX3 inhibits migration of MM ECs and FBs in a dose-dependent manner, and impacts in vitro and in vivo FGF2-mediated MM angiogenesis. Co-cultures of PCs and ECs/FBs show that PTX3 treatment indirectly impairs PC viability and adhesion. We conclude that PTX3 is an anti-angiogenic factor in MM and behaves as a cytotoxic molecule on MM cells by inhibiting the cross-talk between PCs and ECs/FBs.","author":[{"dropping-particle":"","family":"Basile","given":"Antonio","non-dropping-particle":"","parse-names":false,"suffix":""},{"dropping-particle":"","family":"Moschetta","given":"Michele","non-dropping-particle":"","parse-names":false,"suffix":""},{"dropping-particle":"","family":"Ditonno","given":"Paolo","non-dropping-particle":"","parse-names":false,"suffix":""},{"dropping-particle":"","family":"Ria","given":"Roberto","non-dropping-particle":"","parse-names":false,"suffix":""},{"dropping-particle":"","family":"Marech","given":"Ilaria","non-dropping-particle":"","parse-names":false,"suffix":""},{"dropping-particle":"","family":"Luisi","given":"Annunziata","non-dropping-particle":"De","parse-names":false,"suffix":""},{"dropping-particle":"","family":"Berardi","given":"Simona","non-dropping-particle":"","parse-names":false,"suffix":""},{"dropping-particle":"","family":"Frassanito","given":"Maria Antonia","non-dropping-particle":"","parse-names":false,"suffix":""},{"dropping-particle":"","family":"Angelucci","given":"Emanuele","non-dropping-particle":"","parse-names":false,"suffix":""},{"dropping-particle":"","family":"Derudas","given":"Daniele","non-dropping-particle":"","parse-names":false,"suffix":""},{"dropping-particle":"","family":"Specchia","given":"Giorgina","non-dropping-particle":"","parse-names":false,"suffix":""},{"dropping-particle":"","family":"Curci","given":"Paola","non-dropping-particle":"","parse-names":false,"suffix":""},{"dropping-particle":"","family":"Pavone","given":"Vincenzo","non-dropping-particle":"","parse-names":false,"suffix":""},{"dropping-particle":"","family":"Rossini","given":"Bernardo","non-dropping-particle":"","parse-names":false,"suffix":""},{"dropping-particle":"","family":"Ribatti","given":"Domenico","non-dropping-particle":"","parse-names":false,"suffix":""},{"dropping-particle":"","family":"Bottazzi","given":"Barbara","non-dropping-particle":"","parse-names":false,"suffix":""},{"dropping-particle":"","family":"Mantovani","given":"Alberto","non-dropping-particle":"","parse-names":false,"suffix":""},{"dropping-particle":"","family":"Presta","given":"Marco","non-dropping-particle":"","parse-names":false,"suffix":""},{"dropping-particle":"","family":"Dammacco","given":"Franco","non-dropping-particle":"","parse-names":false,"suffix":""},{"dropping-particle":"","family":"Vacca","given":"Angelo","non-dropping-particle":"","parse-names":false,"suffix":""}],"container-title":"Journal of Pathology","id":"ITEM-2","issue":"1","issued":{"date-parts":[["2013"]]},"page":"87-98","title":"Pentraxin 3 (PTX3) inhibits plasma cell/stromal cell cross-talk in the bone marrow of multiple myeloma patients","type":"article-journal","volume":"229"},"uris":["http://www.mendeley.com/documents/?uuid=a340d018-0431-4346-8d38-eb4db9d177d7"]}],"mendeley":{"formattedCitation":"(Basile &lt;i&gt;et al.&lt;/i&gt;, 2013; R. Ronca &lt;i&gt;et al.&lt;/i&gt;, 2013)","manualFormatting":"(Basile i sur., 2013; R. Ronca i sur., 2013)","plainTextFormattedCitation":"(Basile et al., 2013; R. Ronca et al., 2013)","previouslyFormattedCitation":"(Basile &lt;i&gt;et al.&lt;/i&gt;, 2013; R. Ronca &lt;i&gt;et al.&lt;/i&gt;, 2013)"},"properties":{"noteIndex":0},"schema":"https://github.com/citation-style-language/schema/raw/master/csl-citation.json"}</w:instrText>
      </w:r>
      <w:r w:rsidR="00CC23EB" w:rsidRPr="00E67E82">
        <w:rPr>
          <w:rStyle w:val="Strong"/>
          <w:b w:val="0"/>
          <w:sz w:val="20"/>
          <w:szCs w:val="20"/>
        </w:rPr>
        <w:fldChar w:fldCharType="separate"/>
      </w:r>
      <w:r w:rsidR="00CC23EB" w:rsidRPr="00E67E82">
        <w:rPr>
          <w:rStyle w:val="Strong"/>
          <w:b w:val="0"/>
          <w:noProof/>
          <w:sz w:val="20"/>
          <w:szCs w:val="20"/>
        </w:rPr>
        <w:t xml:space="preserve">(Basile </w:t>
      </w:r>
      <w:r w:rsidR="003F4A87">
        <w:rPr>
          <w:rStyle w:val="Strong"/>
          <w:b w:val="0"/>
          <w:i/>
          <w:noProof/>
          <w:sz w:val="20"/>
          <w:szCs w:val="20"/>
        </w:rPr>
        <w:t>i sur.,</w:t>
      </w:r>
      <w:r w:rsidR="00CC23EB" w:rsidRPr="00E67E82">
        <w:rPr>
          <w:rStyle w:val="Strong"/>
          <w:b w:val="0"/>
          <w:noProof/>
          <w:sz w:val="20"/>
          <w:szCs w:val="20"/>
        </w:rPr>
        <w:t xml:space="preserve"> 2013; R. Ronca </w:t>
      </w:r>
      <w:r w:rsidR="003F4A87">
        <w:rPr>
          <w:rStyle w:val="Strong"/>
          <w:b w:val="0"/>
          <w:i/>
          <w:noProof/>
          <w:sz w:val="20"/>
          <w:szCs w:val="20"/>
        </w:rPr>
        <w:t>i sur.,</w:t>
      </w:r>
      <w:r w:rsidR="00CC23EB" w:rsidRPr="00E67E82">
        <w:rPr>
          <w:rStyle w:val="Strong"/>
          <w:b w:val="0"/>
          <w:noProof/>
          <w:sz w:val="20"/>
          <w:szCs w:val="20"/>
        </w:rPr>
        <w:t xml:space="preserve"> 2013)</w:t>
      </w:r>
      <w:r w:rsidR="00CC23EB" w:rsidRPr="00E67E82">
        <w:rPr>
          <w:rStyle w:val="Strong"/>
          <w:b w:val="0"/>
          <w:sz w:val="20"/>
          <w:szCs w:val="20"/>
        </w:rPr>
        <w:fldChar w:fldCharType="end"/>
      </w:r>
      <w:r w:rsidR="00CC23EB" w:rsidRPr="00E67E82">
        <w:rPr>
          <w:rStyle w:val="Strong"/>
          <w:b w:val="0"/>
          <w:sz w:val="20"/>
          <w:szCs w:val="20"/>
        </w:rPr>
        <w:t xml:space="preserve">. </w:t>
      </w:r>
      <w:r w:rsidR="00A37DE1" w:rsidRPr="00E67E82">
        <w:rPr>
          <w:rStyle w:val="Strong"/>
          <w:b w:val="0"/>
          <w:sz w:val="20"/>
          <w:szCs w:val="20"/>
        </w:rPr>
        <w:t>Nadalje, u humanom modelu karcinoma prostate, PTX3 imunoreaktivnost, inače izražena u bazalnim stanicama zdrave prostate, izgubljena je u prostatičnoj intraepitelnoj neoplaziji i adenokarcinomu prostate</w:t>
      </w:r>
      <w:r w:rsidR="00CC23EB" w:rsidRPr="00E67E82">
        <w:rPr>
          <w:rStyle w:val="Strong"/>
          <w:b w:val="0"/>
          <w:sz w:val="20"/>
          <w:szCs w:val="20"/>
        </w:rPr>
        <w:t xml:space="preserve"> </w:t>
      </w:r>
      <w:r w:rsidR="00CC23EB" w:rsidRPr="00E67E82">
        <w:rPr>
          <w:rStyle w:val="Strong"/>
          <w:b w:val="0"/>
          <w:sz w:val="20"/>
          <w:szCs w:val="20"/>
        </w:rPr>
        <w:fldChar w:fldCharType="begin" w:fldLock="1"/>
      </w:r>
      <w:r w:rsidR="00F41B60">
        <w:rPr>
          <w:rStyle w:val="Strong"/>
          <w:b w:val="0"/>
          <w:sz w:val="20"/>
          <w:szCs w:val="20"/>
        </w:rPr>
        <w:instrText>ADDIN CSL_CITATION {"citationItems":[{"id":"ITEM-1","itemData":{"DOI":"10.1002/path.4181","ISSN":"00223417","abstract":"Fibroblast growth factors (FGFs) exert autocrine/paracrine functions in prostate cancer by stimulating angiogenesis and tumour growth. Here dihydrotestosterone (DHT) up-regulates FGF2 and FGF8b production in murine TRAMP-C2 prostate cancer cells, activating a FGF-dependent autocrine loop of stimulation. The soluble pattern recognition receptor long pentraxin-3 (PTX3) acts as a natural FGF antagonist that binds FGF2 and FGF8b via its N-terminal domain. We demonstrate that recombinant PTX3 protein and the PTX3-derived pentapeptide Ac-ARPCA-NH2 abolish the mitogenic response of murine TRAMP-C2 cells and human LNCaP prostate cancer cells to DHT and FGFs. Also, PTX3 hampers the angiogenic activity of DHT-activated TRAMP-C2 cells on the chick embryo chorioallantoic membrane (CAM). Accordingly, human PTX3 overexpression inhibits the mitogenic activity exerted by DHT or FGFs on hPTX3_TRAMP-C2 cell transfectants and their angiogenic activity. Also, hPTX3_TRAMP-C2 cells show a dramatic decrease of their angiogenic and tumourigenic potential when grafted in syngeneic or immunodeficient athymic male mice. A similar inhibitory effect is observed when TRAMP-C2 cells overexpress only the FGF-binding N-terminal PTX3 domain. In keeping with the anti-tumour activity of PTX3 in experimental prostate cancer, immunohistochemical analysis of prostate needle biopsies from primary prostate adenocarcinoma patients shows that parenchymal PTX3 expression, abundant in basal cells of normal glands, is lost in high-grade prostatic intraepithelial neoplasia and in invasive tumour areas. These results identify PTX3 as a potent FGF antagonist endowed with anti-angiogenic and anti-neoplastic activity in prostate cancer.","author":[{"dropping-particle":"","family":"Ronca","given":"Roberto","non-dropping-particle":"","parse-names":false,"suffix":""},{"dropping-particle":"","family":"Alessi","given":"Patrizia","non-dropping-particle":"","parse-names":false,"suffix":""},{"dropping-particle":"","family":"Coltrini","given":"Daniela","non-dropping-particle":"","parse-names":false,"suffix":""},{"dropping-particle":"","family":"Salle","given":"Emanuela","non-dropping-particle":"Di","parse-names":false,"suffix":""},{"dropping-particle":"","family":"Giacomini","given":"Arianna","non-dropping-particle":"","parse-names":false,"suffix":""},{"dropping-particle":"","family":"Leali","given":"Daria","non-dropping-particle":"","parse-names":false,"suffix":""},{"dropping-particle":"","family":"Corsini","given":"Michela","non-dropping-particle":"","parse-names":false,"suffix":""},{"dropping-particle":"","family":"Belleri","given":"Mirella","non-dropping-particle":"","parse-names":false,"suffix":""},{"dropping-particle":"","family":"Tobia","given":"Chiara","non-dropping-particle":"","parse-names":false,"suffix":""},{"dropping-particle":"","family":"Garlanda","given":"Cecilia","non-dropping-particle":"","parse-names":false,"suffix":""},{"dropping-particle":"","family":"Bonomi","given":"Elisa","non-dropping-particle":"","parse-names":false,"suffix":""},{"dropping-particle":"","family":"Tardanico","given":"Regina","non-dropping-particle":"","parse-names":false,"suffix":""},{"dropping-particle":"","family":"Vermi","given":"William","non-dropping-particle":"","parse-names":false,"suffix":""},{"dropping-particle":"","family":"Presta","given":"Marco","non-dropping-particle":"","parse-names":false,"suffix":""}],"container-title":"Journal of Pathology","id":"ITEM-1","issue":"2","issued":{"date-parts":[["2013"]]},"page":"228-238","title":"Long pentraxin-3 as an epithelial-stromal fibroblast growth factor-targeting inhibitor in prostate cancer","type":"article-journal","volume":"230"},"uris":["http://www.mendeley.com/documents/?uuid=5dad3213-158b-4316-b750-fe0cb4c485de"]}],"mendeley":{"formattedCitation":"(Roberto Ronca &lt;i&gt;et al.&lt;/i&gt;, 2013)","manualFormatting":"(Roberto Ronca i sur., 2013)","plainTextFormattedCitation":"(Roberto Ronca et al., 2013)","previouslyFormattedCitation":"(Roberto Ronca &lt;i&gt;et al.&lt;/i&gt;, 2013)"},"properties":{"noteIndex":0},"schema":"https://github.com/citation-style-language/schema/raw/master/csl-citation.json"}</w:instrText>
      </w:r>
      <w:r w:rsidR="00CC23EB" w:rsidRPr="00E67E82">
        <w:rPr>
          <w:rStyle w:val="Strong"/>
          <w:b w:val="0"/>
          <w:sz w:val="20"/>
          <w:szCs w:val="20"/>
        </w:rPr>
        <w:fldChar w:fldCharType="separate"/>
      </w:r>
      <w:r w:rsidR="00CC23EB" w:rsidRPr="00E67E82">
        <w:rPr>
          <w:rStyle w:val="Strong"/>
          <w:b w:val="0"/>
          <w:noProof/>
          <w:sz w:val="20"/>
          <w:szCs w:val="20"/>
        </w:rPr>
        <w:t xml:space="preserve">(Roberto Ronca </w:t>
      </w:r>
      <w:r w:rsidR="003F4A87">
        <w:rPr>
          <w:rStyle w:val="Strong"/>
          <w:b w:val="0"/>
          <w:i/>
          <w:noProof/>
          <w:sz w:val="20"/>
          <w:szCs w:val="20"/>
        </w:rPr>
        <w:t>i sur.,</w:t>
      </w:r>
      <w:r w:rsidR="00CC23EB" w:rsidRPr="00E67E82">
        <w:rPr>
          <w:rStyle w:val="Strong"/>
          <w:b w:val="0"/>
          <w:noProof/>
          <w:sz w:val="20"/>
          <w:szCs w:val="20"/>
        </w:rPr>
        <w:t xml:space="preserve"> 2013)</w:t>
      </w:r>
      <w:r w:rsidR="00CC23EB" w:rsidRPr="00E67E82">
        <w:rPr>
          <w:rStyle w:val="Strong"/>
          <w:b w:val="0"/>
          <w:sz w:val="20"/>
          <w:szCs w:val="20"/>
        </w:rPr>
        <w:fldChar w:fldCharType="end"/>
      </w:r>
      <w:r w:rsidR="00CC23EB" w:rsidRPr="00E67E82">
        <w:rPr>
          <w:rStyle w:val="Strong"/>
          <w:b w:val="0"/>
          <w:sz w:val="20"/>
          <w:szCs w:val="20"/>
        </w:rPr>
        <w:t>.</w:t>
      </w:r>
      <w:r w:rsidR="00A37DE1" w:rsidRPr="00E67E82">
        <w:rPr>
          <w:rStyle w:val="Strong"/>
          <w:b w:val="0"/>
          <w:sz w:val="20"/>
          <w:szCs w:val="20"/>
        </w:rPr>
        <w:t xml:space="preserve"> Epigenetska regulacija ekspresije PTX3 također je opisana u nekim zloćudnim novotvorinama. Hipermetilacija promotorske regije PTX3 i posljedična smanjena ekspresija opisana je kod planocelularnog karcinoma jednjaka </w:t>
      </w:r>
      <w:r w:rsidR="00CC23EB" w:rsidRPr="00E67E82">
        <w:rPr>
          <w:rStyle w:val="Strong"/>
          <w:b w:val="0"/>
          <w:sz w:val="20"/>
          <w:szCs w:val="20"/>
        </w:rPr>
        <w:fldChar w:fldCharType="begin" w:fldLock="1"/>
      </w:r>
      <w:r w:rsidR="00F41B60">
        <w:rPr>
          <w:rStyle w:val="Strong"/>
          <w:b w:val="0"/>
          <w:sz w:val="20"/>
          <w:szCs w:val="20"/>
        </w:rPr>
        <w:instrText>ADDIN CSL_CITATION {"citationItems":[{"id":"ITEM-1","itemData":{"DOI":"10.3748/wjg.v17.i37.4225","ISSN":"10079327","abstract":"AIM: To identify the novel methylation-silenced gene pentraxin 3 (PTX3) in esophageal squamous cell carcinoma (ESCC).\\n\\nMETHODS: PTX3 mRNA expression was examined in six human ESCC cell lines, one human immortalized normal esophageal epithelial cell line, primary ESCC tumor tissue, and paired adjacent nontumor tissue using reverse transcription polymerase chain reaction (RT-PCR). Semi-quantitative immunohistochemistry was used to examine cellular localisation and protein levels. Methylation specific PCR and bisulphite genomic sequencing were employed to investigate the methylation of the candidate gene.\\n\\nRESULTS: In the majority of ESCC cell lines, we found that PTX3 expression was down-regulated due to gene promoter hypermethylation, which was further confirmed by bisulphite genomic sequencing. Demethylation treatment with 5-aza-2'-deoxycytidine restored PTX3 mRNA expression in ESCC cell lines. Methylation was more common in tumor tissues (85%) than in adjacent nontumor tissues (25%) (P &lt; 0 .01).\\n\\nCONCLUSION: PTX3 is down-regulated through promoter hypermethylation in ESCC, and could potentially serve as a biomarker of ESCC.","author":[{"dropping-particle":"","family":"Wang","given":"Jun Xiong","non-dropping-particle":"","parse-names":false,"suffix":""},{"dropping-particle":"","family":"He","given":"Yuan Long","non-dropping-particle":"","parse-names":false,"suffix":""},{"dropping-particle":"","family":"Zhu","given":"Sheng Tao","non-dropping-particle":"","parse-names":false,"suffix":""},{"dropping-particle":"","family":"Yang","given":"Shuo","non-dropping-particle":"","parse-names":false,"suffix":""},{"dropping-particle":"","family":"Zhang","given":"Shu Tian","non-dropping-particle":"","parse-names":false,"suffix":""}],"container-title":"World Journal of Gastroenterology","id":"ITEM-1","issue":"37","issued":{"date-parts":[["2011"]]},"page":"4225-4230","title":"Aberrant methylation of the 3q25 tumor suppressor gene PTX3 in human esophageal squamous cell carcinoma","type":"article-journal","volume":"17"},"uris":["http://www.mendeley.com/documents/?uuid=379cbe05-815f-45c5-a91c-e515ac2f6ccd"]},{"id":"ITEM-2","itemData":{"DOI":"10.18632/oncotarget.13510","abstract":"We performed a two-stage molecular epidemiological study to explore DNA\\nmethylation profiles for potential biomarkers of esophageal squamous\\ncell carcinoma (ESCC) in a Chinese population. Infinium Methylation 450K\\nBeadChip was used to identify genes with differentially methylated CpG\\nsites. Sixteen candidate genes were validated by sequencing 1160 CpG\\nsites in their promoter regions using the Illumina MiSeq platform. When\\nexcluding sites with negative changes, 10 genes (BNIP3, BRCA1, CCND1,\\nCDKN2A, HTATIP2, ITGAV, NFKB1, PIK3R1, PRDM16 and PTX3) showed\\nsignificantly different methylation levels among cancer lesions, remote\\nnormal-appearing tissues, and healthy controls. PRDM16 had the highest\\ndiagnostic value with the AUC (95% CI) of 0.988 (0.965-1.000), followed\\nby PIK3R1, with the AUC (95% CI) of 0.969 (0.928-1.000). In addition,\\nthe methylation status was higher in patients with advanced cancer\\nstages. These results indicate that aberrant DNA methylation may be a\\npotential biomarker for the diagnosis of ESCC.","author":[{"dropping-particle":"","family":"Peng","given":"Xianzhen","non-dropping-particle":"","parse-names":false,"suffix":""},{"dropping-particle":"","family":"Xue","given":"Hengchuan","non-dropping-particle":"","parse-names":false,"suffix":""},{"dropping-particle":"","family":"Lü","given":"Lingshuang","non-dropping-particle":"","parse-names":false,"suffix":""},{"dropping-particle":"","family":"Shi","given":"Peiyi","non-dropping-particle":"","parse-names":false,"suffix":""},{"dropping-particle":"","family":"Wang","given":"Jianping","non-dropping-particle":"","parse-names":false,"suffix":""},{"dropping-particle":"","family":"Wang","given":"Jianming","non-dropping-particle":"","parse-names":false,"suffix":""}],"container-title":"Oncotarget","id":"ITEM-2","issue":"1","issued":{"date-parts":[["2016"]]},"page":"679-691","title":"Accumulated promoter methylation as a potential biomarker for esophageal cancer","type":"article-journal","volume":"8"},"uris":["http://www.mendeley.com/documents/?uuid=f50213cf-2801-4521-b583-219b847f467b"]}],"mendeley":{"formattedCitation":"(Wang &lt;i&gt;et al.&lt;/i&gt;, 2011; Peng &lt;i&gt;et al.&lt;/i&gt;, 2016)","manualFormatting":"(Wang i sur., 2011; Peng i sur., 2016)","plainTextFormattedCitation":"(Wang et al., 2011; Peng et al., 2016)","previouslyFormattedCitation":"(Wang &lt;i&gt;et al.&lt;/i&gt;, 2011; Peng &lt;i&gt;et al.&lt;/i&gt;, 2016)"},"properties":{"noteIndex":0},"schema":"https://github.com/citation-style-language/schema/raw/master/csl-citation.json"}</w:instrText>
      </w:r>
      <w:r w:rsidR="00CC23EB" w:rsidRPr="00E67E82">
        <w:rPr>
          <w:rStyle w:val="Strong"/>
          <w:b w:val="0"/>
          <w:sz w:val="20"/>
          <w:szCs w:val="20"/>
        </w:rPr>
        <w:fldChar w:fldCharType="separate"/>
      </w:r>
      <w:r w:rsidR="00CC23EB" w:rsidRPr="00E67E82">
        <w:rPr>
          <w:rStyle w:val="Strong"/>
          <w:b w:val="0"/>
          <w:noProof/>
          <w:sz w:val="20"/>
          <w:szCs w:val="20"/>
        </w:rPr>
        <w:t xml:space="preserve">(Wang </w:t>
      </w:r>
      <w:r w:rsidR="003F4A87">
        <w:rPr>
          <w:rStyle w:val="Strong"/>
          <w:b w:val="0"/>
          <w:i/>
          <w:noProof/>
          <w:sz w:val="20"/>
          <w:szCs w:val="20"/>
        </w:rPr>
        <w:t>i sur.,</w:t>
      </w:r>
      <w:r w:rsidR="00CC23EB" w:rsidRPr="00E67E82">
        <w:rPr>
          <w:rStyle w:val="Strong"/>
          <w:b w:val="0"/>
          <w:noProof/>
          <w:sz w:val="20"/>
          <w:szCs w:val="20"/>
        </w:rPr>
        <w:t xml:space="preserve"> 2011; Peng </w:t>
      </w:r>
      <w:r w:rsidR="003F4A87">
        <w:rPr>
          <w:rStyle w:val="Strong"/>
          <w:b w:val="0"/>
          <w:i/>
          <w:noProof/>
          <w:sz w:val="20"/>
          <w:szCs w:val="20"/>
        </w:rPr>
        <w:t>i sur.,</w:t>
      </w:r>
      <w:r w:rsidR="00CC23EB" w:rsidRPr="00E67E82">
        <w:rPr>
          <w:rStyle w:val="Strong"/>
          <w:b w:val="0"/>
          <w:noProof/>
          <w:sz w:val="20"/>
          <w:szCs w:val="20"/>
        </w:rPr>
        <w:t xml:space="preserve"> 2016)</w:t>
      </w:r>
      <w:r w:rsidR="00CC23EB" w:rsidRPr="00E67E82">
        <w:rPr>
          <w:rStyle w:val="Strong"/>
          <w:b w:val="0"/>
          <w:sz w:val="20"/>
          <w:szCs w:val="20"/>
        </w:rPr>
        <w:fldChar w:fldCharType="end"/>
      </w:r>
      <w:r w:rsidR="00CC23EB" w:rsidRPr="00E67E82">
        <w:rPr>
          <w:rStyle w:val="Strong"/>
          <w:b w:val="0"/>
          <w:sz w:val="20"/>
          <w:szCs w:val="20"/>
        </w:rPr>
        <w:t xml:space="preserve">. </w:t>
      </w:r>
      <w:r w:rsidR="00A37DE1" w:rsidRPr="00E67E82">
        <w:rPr>
          <w:rStyle w:val="Strong"/>
          <w:b w:val="0"/>
          <w:sz w:val="20"/>
          <w:szCs w:val="20"/>
        </w:rPr>
        <w:t xml:space="preserve">U razvoju kolorektalnog karcinoma značajnu ulogu ima metilacija različitih regulatornih regija. Tako metilacija enhancera-1 dominira u ranim stadijima, dok se metilacija enhancera-2 pojačava paralelno s progresijom </w:t>
      </w:r>
      <w:r w:rsidR="00CC23EB" w:rsidRPr="00E67E82">
        <w:rPr>
          <w:rStyle w:val="Strong"/>
          <w:b w:val="0"/>
          <w:sz w:val="20"/>
          <w:szCs w:val="20"/>
        </w:rPr>
        <w:t xml:space="preserve">tumora prema kasnijim stadijima </w:t>
      </w:r>
      <w:r w:rsidR="00CC23EB" w:rsidRPr="00E67E82">
        <w:rPr>
          <w:rStyle w:val="Strong"/>
          <w:b w:val="0"/>
          <w:sz w:val="20"/>
          <w:szCs w:val="20"/>
        </w:rPr>
        <w:fldChar w:fldCharType="begin" w:fldLock="1"/>
      </w:r>
      <w:r w:rsidR="00F41B60">
        <w:rPr>
          <w:rStyle w:val="Strong"/>
          <w:b w:val="0"/>
          <w:sz w:val="20"/>
          <w:szCs w:val="20"/>
        </w:rPr>
        <w:instrText>ADDIN CSL_CITATION {"citationItems":[{"id":"ITEM-1","itemData":{"DOI":"10.1080/2162402X.2017.1333215","ISSN":"2162402X","abstract":"PTX3 is a component of the humoral arm of innate immunity and an extrinsic oncosuppressor gene taming tumor-promoting inflammation. Here, we show that two enhancers differently regulate PTX3 expression: enhancer 1, located 230 kb upstream of PTX3 promoter, mediated the action of inflammatory transcription factors; and enhancer 2, encompassing PTX3 second exon, was implicated in pre-initiation complex assembly. Polycomb repressive complex 2 silenced these regulatory elements and the promoter in basal condition. Enhancer 1 was epigenetically inactivated in early colorectal cancer (CRC) stages, while the promoter and enhancer 2 showed increasingly DNA methylation during CRC progression from adenomas to stage II and III CRC. Inhibition of DNA methylation rescued PTX3 expression in CRC. Finally, enhancer 1 acquired the binding of STAT3 in stage I CRC, and inhibition of STAT3 phosphorylation restored PTX3 activity and decreased enhancer 1 methylation. Thus, the expression of PTX3 is under the control of two enhancers, which emerge as important fine regulators of PTX3 expression in inflammation and cancer.","author":[{"dropping-particle":"","family":"Rubino","given":"Marcello","non-dropping-particle":"","parse-names":false,"suffix":""},{"dropping-particle":"","family":"Kunderfranco","given":"Paolo","non-dropping-particle":"","parse-names":false,"suffix":""},{"dropping-particle":"","family":"Basso","given":"Gianluca","non-dropping-particle":"","parse-names":false,"suffix":""},{"dropping-particle":"","family":"Greco","given":"Carolina Magdalen","non-dropping-particle":"","parse-names":false,"suffix":""},{"dropping-particle":"","family":"Pasqualini","given":"Fabio","non-dropping-particle":"","parse-names":false,"suffix":""},{"dropping-particle":"","family":"Serio","given":"Simone","non-dropping-particle":"","parse-names":false,"suffix":""},{"dropping-particle":"","family":"Roncalli","given":"Massimo","non-dropping-particle":"","parse-names":false,"suffix":""},{"dropping-particle":"","family":"Laghi","given":"Luigi","non-dropping-particle":"","parse-names":false,"suffix":""},{"dropping-particle":"","family":"Mantovani","given":"Alberto","non-dropping-particle":"","parse-names":false,"suffix":""},{"dropping-particle":"","family":"Papait","given":"Roberto","non-dropping-particle":"","parse-names":false,"suffix":""},{"dropping-particle":"","family":"Garlanda","given":"Cecilia","non-dropping-particle":"","parse-names":false,"suffix":""}],"container-title":"OncoImmunology","id":"ITEM-1","issue":"7","issued":{"date-parts":[["2017"]]},"title":"Epigenetic regulation of the extrinsic oncosuppressor PTX3 gene in inflammation and cancer","type":"article-journal","volume":"6"},"uris":["http://www.mendeley.com/documents/?uuid=cc73df19-a880-41c4-b402-3eacf8fbad56"]}],"mendeley":{"formattedCitation":"(Rubino &lt;i&gt;et al.&lt;/i&gt;, 2017)","manualFormatting":"(Rubino i sur., 2017)","plainTextFormattedCitation":"(Rubino et al., 2017)","previouslyFormattedCitation":"(Rubino &lt;i&gt;et al.&lt;/i&gt;, 2017)"},"properties":{"noteIndex":0},"schema":"https://github.com/citation-style-language/schema/raw/master/csl-citation.json"}</w:instrText>
      </w:r>
      <w:r w:rsidR="00CC23EB" w:rsidRPr="00E67E82">
        <w:rPr>
          <w:rStyle w:val="Strong"/>
          <w:b w:val="0"/>
          <w:sz w:val="20"/>
          <w:szCs w:val="20"/>
        </w:rPr>
        <w:fldChar w:fldCharType="separate"/>
      </w:r>
      <w:r w:rsidR="00CC23EB" w:rsidRPr="00E67E82">
        <w:rPr>
          <w:rStyle w:val="Strong"/>
          <w:b w:val="0"/>
          <w:noProof/>
          <w:sz w:val="20"/>
          <w:szCs w:val="20"/>
        </w:rPr>
        <w:t xml:space="preserve">(Rubino </w:t>
      </w:r>
      <w:r w:rsidR="003F4A87">
        <w:rPr>
          <w:rStyle w:val="Strong"/>
          <w:b w:val="0"/>
          <w:i/>
          <w:noProof/>
          <w:sz w:val="20"/>
          <w:szCs w:val="20"/>
        </w:rPr>
        <w:t>i sur.,</w:t>
      </w:r>
      <w:r w:rsidR="00CC23EB" w:rsidRPr="00E67E82">
        <w:rPr>
          <w:rStyle w:val="Strong"/>
          <w:b w:val="0"/>
          <w:noProof/>
          <w:sz w:val="20"/>
          <w:szCs w:val="20"/>
        </w:rPr>
        <w:t xml:space="preserve"> 2017)</w:t>
      </w:r>
      <w:r w:rsidR="00CC23EB" w:rsidRPr="00E67E82">
        <w:rPr>
          <w:rStyle w:val="Strong"/>
          <w:b w:val="0"/>
          <w:sz w:val="20"/>
          <w:szCs w:val="20"/>
        </w:rPr>
        <w:fldChar w:fldCharType="end"/>
      </w:r>
      <w:r w:rsidR="00CC23EB" w:rsidRPr="00E67E82">
        <w:rPr>
          <w:rStyle w:val="Strong"/>
          <w:b w:val="0"/>
          <w:sz w:val="20"/>
          <w:szCs w:val="20"/>
        </w:rPr>
        <w:t>.</w:t>
      </w:r>
      <w:r w:rsidR="00FC5A3E">
        <w:rPr>
          <w:rStyle w:val="Strong"/>
          <w:b w:val="0"/>
          <w:sz w:val="20"/>
          <w:szCs w:val="20"/>
        </w:rPr>
        <w:t xml:space="preserve"> </w:t>
      </w:r>
      <w:r w:rsidR="00EB6F9D" w:rsidRPr="00E67E82">
        <w:rPr>
          <w:rStyle w:val="Strong"/>
          <w:b w:val="0"/>
          <w:sz w:val="20"/>
          <w:szCs w:val="20"/>
        </w:rPr>
        <w:t>S druge strane, pojačana ekspresija PTX3 uočena je kod karcinoma gušterače</w:t>
      </w:r>
      <w:r w:rsidR="0014407F" w:rsidRPr="00E67E82">
        <w:rPr>
          <w:rStyle w:val="Strong"/>
          <w:b w:val="0"/>
          <w:sz w:val="20"/>
          <w:szCs w:val="20"/>
        </w:rPr>
        <w:t xml:space="preserv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{"citationItems":[{"id":"ITEM-1","itemData":{"DOI":"10.1038/bjc.2013.348","ISSN":"00070920","abstract":"BACKGROUND: Inflammatory mediators may have decisive roles at different stages of tumour development. Mediators within the pentraxin family may be used as strong biomarkers in prognosis of advanced pancreatic carcinoma patients.\\n\\nMETHODS: Using pancreatic carcinoma cell lines and gene transfectant, we measured long pentraxin (PTX3) level in culture solution and carried out cellular migration assay in vitro. In vivo study of the treatment-naive patients with advanced pancreatic carcinoma assigned to undergo gemcitabine therapy was prospectively conducted to measure and investigate the role of plasma PTX3, C-reactive protein (CRP), and eight inflammatory mediators by using collected clinical data.\\n\\nRESULTS: Elevated PTX3 production was observed in several cell lines, and a direct relationship between migratory activity and PTX3 level was identified in vitro. High PTX3 level (117 days) was significantly less than that of patients with low PTX3 level (357 days, P&lt;0.001). Multivariate analysis of the pancreatic carcinoma revealed a strong correlation between pentraxin family member expression and prognosis of pancreatic carcinoma. The relationship between PTX3 expression and the expression of other pro-inflammatory mediators indicated that PTX3 level is positively correlated with levels of CRP, interleukin-6, and macrophage-inhibitory factor.\\n\\nCONCLUSION: Pentraxin family members, especially PTX3, may be used as promising biomarkers in the prognosis of pancreatic carcinoma patients.","author":[{"dropping-particle":"","family":"Kondo","given":"S.","non-dropping-particle":"","parse-names":false,"suffix":""},{"dropping-particle":"","family":"Ueno","given":"H.","non-dropping-particle":"","parse-names":false,"suffix":""},{"dropping-particle":"","family":"Hosoi","given":"H.","non-dropping-particle":"","parse-names":false,"suffix":""},{"dropping-particle":"","family":"Hashimoto","given":"J.","non-dropping-particle":"","parse-names":false,"suffix":""},{"dropping-particle":"","family":"Morizane","given":"C.","non-dropping-particle":"","parse-names":false,"suffix":""},{"dropping-particle":"","family":"Koizumi","given":"F.","non-dropping-particle":"","parse-names":false,"suffix":""},{"dropping-particle":"","family":"Tamura","given":"K.","non-dropping-particle":"","parse-names":false,"suffix":""},{"dropping-particle":"","family":"Okusaka","given":"T.","non-dropping-particle":"","parse-names":false,"suffix":""}],"container-title":"British Journal of Cancer","id":"ITEM-1","issue":"3","issued":{"date-parts":[["2013"]]},"page":"739-746","publisher":"Nature Publishing Group","title":"Clinical impact of pentraxin family expression on prognosis of pancreatic carcinoma","type":"article-journal","volume":"109"},"uris":["http://www.mendeley.com/documents/?uuid=634f61b7-f0e0-4493-8eeb-d9a6ccfb9d20"]}],"mendeley":{"formattedCitation":"(Kondo &lt;i&gt;et al.&lt;/i&gt;, 2013)","manualFormatting":"(Kondo i sur., 2013)","plainTextFormattedCitation":"(Kondo et al., 2013)","previouslyFormattedCitation":"(Kondo &lt;i&gt;et al.&lt;/i&gt;, 2013)"},"properties":{"noteIndex":0},"schema":"https://github.com/citation-style-language/schema/raw/master/csl-citation.json"}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(Kondo </w:t>
      </w:r>
      <w:r w:rsidR="003F4A87">
        <w:rPr>
          <w:rStyle w:val="Strong"/>
          <w:b w:val="0"/>
          <w:i/>
          <w:noProof/>
          <w:sz w:val="20"/>
          <w:szCs w:val="20"/>
        </w:rPr>
        <w:t>i sur.,</w:t>
      </w:r>
      <w:r w:rsidR="0014407F" w:rsidRPr="00E67E82">
        <w:rPr>
          <w:rStyle w:val="Strong"/>
          <w:b w:val="0"/>
          <w:noProof/>
          <w:sz w:val="20"/>
          <w:szCs w:val="20"/>
        </w:rPr>
        <w:t xml:space="preserve"> 2013)</w:t>
      </w:r>
      <w:r w:rsidR="0014407F" w:rsidRPr="00E67E82">
        <w:rPr>
          <w:rStyle w:val="Strong"/>
          <w:b w:val="0"/>
          <w:sz w:val="20"/>
          <w:szCs w:val="20"/>
        </w:rPr>
        <w:fldChar w:fldCharType="end"/>
      </w:r>
      <w:r w:rsidR="00EB6F9D" w:rsidRPr="00E67E82">
        <w:rPr>
          <w:rStyle w:val="Strong"/>
          <w:b w:val="0"/>
          <w:sz w:val="20"/>
          <w:szCs w:val="20"/>
        </w:rPr>
        <w:t>, metastatskog planocelularnog karcinoma glave i vrata ovisnog o EG</w:t>
      </w:r>
      <w:r w:rsidR="0014407F" w:rsidRPr="00E67E82">
        <w:rPr>
          <w:rStyle w:val="Strong"/>
          <w:b w:val="0"/>
          <w:sz w:val="20"/>
          <w:szCs w:val="20"/>
        </w:rPr>
        <w:t xml:space="preserve">F-u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{"citationItems":[{"id":"ITEM-1","itemData":{"DOI":"10.18632/oncotarget.3482","abstract":"Overexpression of the epidermal growth factor (EGF) receptor (EGFR) is associated with enhanced invasion and metastasis in head and neck squamous cell carcinoma (HNSCC). Long Pentraxin PTX3 is involved in immune escape in cancer cells. Here, we identified PTX3 as a promoting factor that mediates EGF-induced HNSCC metastasis. EGF-induced PTX3 transcriptional activation is via the binding of c-Jun to the activator protein (AP)-1 binding site of the PTX3 promoter. PI3K/Akt and NF-κB were essential for the PTX3 activation. EGF-induced PTX3 expression was blocked in c-Jun- and NF-κB-knockdown cells. EGF-mediated PTX3 secretion resulted in the enhancement of cell migration and invasion, and interactions between cancer and endothelial cells. The tail-vein injection animal model revealed that depletion of PTX3 decreased EGF-primed tumor cell metastatic seeding of the lungs. In addition, fibronectin, matrix metalloproteinase-9 (MMP9) and E-cadherin were essential components in EGFR/PTX3-mediated cancer metastasis. In conclusion, PI3K/Akt and NF-κB-dependent regulation of AP-1 mediates PTX3 transcriptional responses to EGF. Autocrine production of EGF-induced PTX3 in turn induces metastatic molecules, activating inflammatory cascades and metastasis.","author":[{"dropping-particle":"","family":"Chang","given":"Wei-Chiao","non-dropping-particle":"","parse-names":false,"suffix":""},{"dropping-particle":"","family":"Wu","given":"Shuo-Lun","non-dropping-particle":"","parse-names":false,"suffix":""},{"dropping-particle":"","family":"Huang","given":"Wan-Chen","non-dropping-particle":"","parse-names":false,"suffix":""},{"dropping-particle":"","family":"Hsu","given":"Jinn-Yuan","non-dropping-particle":"","parse-names":false,"suffix":""},{"dropping-particle":"","family":"Chan","given":"Shih-Hung","non-dropping-particle":"","parse-names":false,"suffix":""},{"dropping-particle":"","family":"Wang","given":"Ju-Ming","non-dropping-particle":"","parse-names":false,"suffix":""},{"dropping-particle":"","family":"Tsai","given":"Jhih-Peng","non-dropping-particle":"","parse-names":false,"suffix":""},{"dropping-particle":"","family":"Chen","given":"Ben-Kuen","non-dropping-particle":"","parse-names":false,"suffix":""}],"container-title":"Oncotarget","id":"ITEM-1","issue":"10","issued":{"date-parts":[["2015"]]},"title":"PTX3 gene activation in EGF-induced head and neck cancer cell metastasis","type":"article-journal","volume":"6"},"uris":["http://www.mendeley.com/documents/?uuid=15bcf158-3297-4884-94cb-74457ad2fcb4"]}],"mendeley":{"formattedCitation":"(Chang &lt;i&gt;et al.&lt;/i&gt;, 2015)","manualFormatting":"(Chang i sur., 2015)","plainTextFormattedCitation":"(Chang et al., 2015)","previouslyFormattedCitation":"(Chang &lt;i&gt;et al.&lt;/i&gt;, 2015)"},"properties":{"noteIndex":0},"schema":"https://github.com/citation-style-language/schema/raw/master/csl-citation.json"}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(Chang </w:t>
      </w:r>
      <w:r w:rsidR="003F4A87">
        <w:rPr>
          <w:rStyle w:val="Strong"/>
          <w:b w:val="0"/>
          <w:i/>
          <w:noProof/>
          <w:sz w:val="20"/>
          <w:szCs w:val="20"/>
        </w:rPr>
        <w:t>i sur.,</w:t>
      </w:r>
      <w:r w:rsidR="0014407F" w:rsidRPr="00E67E82">
        <w:rPr>
          <w:rStyle w:val="Strong"/>
          <w:b w:val="0"/>
          <w:noProof/>
          <w:sz w:val="20"/>
          <w:szCs w:val="20"/>
        </w:rPr>
        <w:t xml:space="preserve"> 2015)</w:t>
      </w:r>
      <w:r w:rsidR="0014407F" w:rsidRPr="00E67E82">
        <w:rPr>
          <w:rStyle w:val="Strong"/>
          <w:b w:val="0"/>
          <w:sz w:val="20"/>
          <w:szCs w:val="20"/>
        </w:rPr>
        <w:fldChar w:fldCharType="end"/>
      </w:r>
      <w:r w:rsidR="0014407F" w:rsidRPr="00E67E82">
        <w:rPr>
          <w:rStyle w:val="Strong"/>
          <w:b w:val="0"/>
          <w:sz w:val="20"/>
          <w:szCs w:val="20"/>
        </w:rPr>
        <w:t xml:space="preserve">, karcinoma dojke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{"citationItems":[{"id":"ITEM-1","itemData":{"DOI":"10.1126/scisignal.aah4674","ISSN":"19379145","abstract":"Pentraxin-3 promotes growth of stem-like cancers\\nThe phosphoinositide 3-kinase (PI3K) pathway is activated in various cancers. Unfortunately, PI3K inhibitors have limited clinical efficacy, particularly in patients with a subtype of breast cancer characterized by cells with stem cell–like properties. Thomas et al. found that an activating mutation in the catalytic α subunit of PI3K enhanced the expression of a gene encoding pentraxin-3, a protein that functions in the innate immune response. Furthermore, an increase in the abundance of pentraxin-3 promoted stem cell–like traits in mammary epithelial and breast cancer cells. The mRNA abundance of PTX3 correlated with poor prognosis of patients with basal-like breast cancer. The findings link innate immune signaling with breast cancer development and suggest that targeting pentraxin-3 may suppress tumor growth in a subset of patients.\\nBasal-like breast cancers (BLBCs) exhibit hyperactivation of the phosphoinositide 3-kinase (PI3K) signaling pathway because of the frequent mutational activation of the PIK3CA catalytic subunit and the genetic loss of its negative regulators PTEN (phosphatase and tensin homolog) and INPP4B (inositol polyphosphate-4-phosphatase type II). However, PI3K inhibitors have had limited clinical efficacy in BLBC management because of compensatory amplification of PI3K downstream signaling loops. Therefore, identification of critical PI3K mediators is paramount to the development of effective BLBC therapeutics. Using transcriptomic analysis of activated PIK3CA–expressing BLBC cells, we identified the gene encoding the humoral pattern recognition molecule pentraxin-3 (PTX3) as a critical target of oncogenic PI3K signaling. We found that PTX3 abundance is stimulated, in part, through AKT- and nuclear factor κB (NF-κB)–dependent pathways and that presence of PTX3 is necessary for PI3K-induced stem cell–like traits. We further showed that PTX3 expression is greater in tumor samples from patients with BLBC and that it is prognostic of poor patient survival. Our results thus reveal PTX3 as a newly identified PI3K-regulated biomarker and a potential therapeutic target in BLBC.\\nPI3K-stimulated induction of pentraxin-3 links innate immune signaling with the growth of basal-like breast cancer.\\nPI3K-stimulated induction of pentraxin-3 links innate immune signaling with the growth of basal-like breast cancer.","author":[{"dropping-particle":"","family":"Thomas","given":"Clémence","non-dropping-particle":"","parse-names":false,"suffix":""},{"dropping-particle":"","family":"Henry","given":"Whitney","non-dropping-particle":"","parse-names":false,"suffix":""},{"dropping-particle":"","family":"Cuiffo","given":"Benjamin G.","non-dropping-particle":"","parse-names":false,"suffix":""},{"dropping-particle":"","family":"Collmann","given":"Anthony Y.","non-dropping-particle":"","parse-names":false,"suffix":""},{"dropping-particle":"","family":"Marangoni","given":"Elisabetta","non-dropping-particle":"","parse-names":false,"suffix":""},{"dropping-particle":"","family":"Benhamo","given":"Vanessa","non-dropping-particle":"","parse-names":false,"suffix":""},{"dropping-particle":"","family":"Bhasin","given":"Manoj K.","non-dropping-particle":"","parse-names":false,"suffix":""},{"dropping-particle":"","family":"Fan","given":"Cheng","non-dropping-particle":"","parse-names":false,"suffix":""},{"dropping-particle":"","family":"Fuhrmann","given":"Laetitia","non-dropping-particle":"","parse-names":false,"suffix":""},{"dropping-particle":"","family":"Baldwin","given":"Albert S.","non-dropping-particle":"","parse-names":false,"suffix":""},{"dropping-particle":"","family":"Perou","given":"Charles","non-dropping-particle":"","parse-names":false,"suffix":""},{"dropping-particle":"","family":"Vincent-Salomon","given":"Anne","non-dropping-particle":"","parse-names":false,"suffix":""},{"dropping-particle":"","family":"Toker","given":"Alex","non-dropping-particle":"","parse-names":false,"suffix":""},{"dropping-particle":"","family":"Karnoub","given":"Antoine E.","non-dropping-particle":"","parse-names":false,"suffix":""}],"container-title":"Science Signaling","id":"ITEM-1","issue":"467","issued":{"date-parts":[["2017"]]},"page":"1-10","title":"Pentraxin-3 is a PI3K signaling target that promotes stem cell-like traits in basal-like breast cancers","type":"article-journal","volume":"10"},"uris":["http://www.mendeley.com/documents/?uuid=72606a35-b6f8-4783-88d2-3e42b1859f17"]}],"mendeley":{"formattedCitation":"(Thomas &lt;i&gt;et al.&lt;/i&gt;, 2017)","manualFormatting":"(Thomas i sur., 2017)","plainTextFormattedCitation":"(Thomas et al., 2017)","previouslyFormattedCitation":"(Thomas &lt;i&gt;et al.&lt;/i&gt;, 2017)"},"properties":{"noteIndex":0},"schema":"https://github.com/citation-style-language/schema/raw/master/csl-citation.json"}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(Thomas </w:t>
      </w:r>
      <w:r w:rsidR="003F4A87">
        <w:rPr>
          <w:rStyle w:val="Strong"/>
          <w:b w:val="0"/>
          <w:i/>
          <w:noProof/>
          <w:sz w:val="20"/>
          <w:szCs w:val="20"/>
        </w:rPr>
        <w:t>i sur.,</w:t>
      </w:r>
      <w:r w:rsidR="0014407F" w:rsidRPr="00E67E82">
        <w:rPr>
          <w:rStyle w:val="Strong"/>
          <w:b w:val="0"/>
          <w:noProof/>
          <w:sz w:val="20"/>
          <w:szCs w:val="20"/>
        </w:rPr>
        <w:t xml:space="preserve"> 2017)</w:t>
      </w:r>
      <w:r w:rsidR="0014407F" w:rsidRPr="00E67E82">
        <w:rPr>
          <w:rStyle w:val="Strong"/>
          <w:b w:val="0"/>
          <w:sz w:val="20"/>
          <w:szCs w:val="20"/>
        </w:rPr>
        <w:fldChar w:fldCharType="end"/>
      </w:r>
      <w:r w:rsidR="0014407F" w:rsidRPr="00E67E82">
        <w:rPr>
          <w:rStyle w:val="Strong"/>
          <w:b w:val="0"/>
          <w:sz w:val="20"/>
          <w:szCs w:val="20"/>
        </w:rPr>
        <w:t xml:space="preserve">, </w:t>
      </w:r>
      <w:r w:rsidR="00EB6F9D" w:rsidRPr="00E67E82">
        <w:rPr>
          <w:rStyle w:val="Strong"/>
          <w:b w:val="0"/>
          <w:sz w:val="20"/>
          <w:szCs w:val="20"/>
        </w:rPr>
        <w:t>karcinoma vrata maternice</w:t>
      </w:r>
      <w:r w:rsidR="0014407F" w:rsidRPr="00E67E82">
        <w:rPr>
          <w:rStyle w:val="Strong"/>
          <w:b w:val="0"/>
          <w:sz w:val="20"/>
          <w:szCs w:val="20"/>
        </w:rPr>
        <w:t xml:space="preserv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{"citationItems":[{"id":"ITEM-1","itemData":{"DOI":"10.1038/srep29385","ISSN":"20452322","abstract":"Knockdown of Pentraxin 3 suppresses tumorigenicity and metastasis of human cervical cancer cells","author":[{"dropping-particle":"","family":"Ying","given":"Tsung Ho","non-dropping-particle":"","parse-names":false,"suffix":""},{"dropping-particle":"","family":"Lee","given":"Chien Hsing","non-dropping-particle":"","parse-names":false,"suffix":""},{"dropping-particle":"","family":"Chiou","given":"Hui Ling","non-dropping-particle":"","parse-names":false,"suffix":""},{"dropping-particle":"","family":"Yang","given":"Shun Fa","non-dropping-particle":"","parse-names":false,"suffix":""},{"dropping-particle":"","family":"Lin","given":"Chu Liang","non-dropping-particle":"","parse-names":false,"suffix":""},{"dropping-particle":"","family":"Hung","given":"Chia Hung","non-dropping-particle":"","parse-names":false,"suffix":""},{"dropping-particle":"","family":"Tsai","given":"Jen Pi","non-dropping-particle":"","parse-names":false,"suffix":""},{"dropping-particle":"","family":"Hsieh","given":"Yi Hsien","non-dropping-particle":"","parse-names":false,"suffix":""}],"container-title":"Scientific Reports","id":"ITEM-1","issue":"July","issued":{"date-parts":[["2016"]]},"page":"1-12","publisher":"Nature Publishing Group","title":"Knockdown of Pentraxin 3 suppresses tumorigenicity and metastasis of human cervical cancer cells","type":"article-journal","volume":"6"},"uris":["http://www.mendeley.com/documents/?uuid=5fdc55cb-aad2-47a7-b0ba-1cc670802e17"]}],"mendeley":{"formattedCitation":"(Ying &lt;i&gt;et al.&lt;/i&gt;, 2016)","manualFormatting":"(Ying i sur., 2016)","plainTextFormattedCitation":"(Ying et al., 2016)","previouslyFormattedCitation":"(Ying &lt;i&gt;et al.&lt;/i&gt;, 2016)"},"properties":{"noteIndex":0},"schema":"https://github.com/citation-style-language/schema/raw/master/csl-citation.json"}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(Ying </w:t>
      </w:r>
      <w:r w:rsidR="003F4A87">
        <w:rPr>
          <w:rStyle w:val="Strong"/>
          <w:b w:val="0"/>
          <w:i/>
          <w:noProof/>
          <w:sz w:val="20"/>
          <w:szCs w:val="20"/>
        </w:rPr>
        <w:t>i sur.,</w:t>
      </w:r>
      <w:r w:rsidR="0014407F" w:rsidRPr="00E67E82">
        <w:rPr>
          <w:rStyle w:val="Strong"/>
          <w:b w:val="0"/>
          <w:noProof/>
          <w:sz w:val="20"/>
          <w:szCs w:val="20"/>
        </w:rPr>
        <w:t xml:space="preserve"> 2016)</w:t>
      </w:r>
      <w:r w:rsidR="0014407F" w:rsidRPr="00E67E82">
        <w:rPr>
          <w:rStyle w:val="Strong"/>
          <w:b w:val="0"/>
          <w:sz w:val="20"/>
          <w:szCs w:val="20"/>
        </w:rPr>
        <w:fldChar w:fldCharType="end"/>
      </w:r>
      <w:r w:rsidR="00EB6F9D" w:rsidRPr="00E67E82">
        <w:rPr>
          <w:rStyle w:val="Strong"/>
          <w:b w:val="0"/>
          <w:sz w:val="20"/>
          <w:szCs w:val="20"/>
        </w:rPr>
        <w:t>, glioma</w:t>
      </w:r>
      <w:r w:rsidR="0014407F" w:rsidRPr="00E67E82">
        <w:rPr>
          <w:rStyle w:val="Strong"/>
          <w:b w:val="0"/>
          <w:sz w:val="20"/>
          <w:szCs w:val="20"/>
        </w:rPr>
        <w:t xml:space="preserv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{"citationItems":[{"id":"ITEM-1","itemData":{"DOI":"10.1016/j.jneuroim.2013.04.009","ISSN":"01655728","abstract":"Inflammation is a component of glioma microenvironment. PTX3 is a component of the humoral arm of innate immunity and a candidate marker of inflammation. In the present study we assessed the expression of PTX3 in gliomas by immunohistochemistry. PTX3 expression differed across low and high-grade tumors based on histopathological diagnosis and clinical severity, positively correlating with tumor grade and severity. In a multivariate logistic regression model, only the PTX3 score was significantly associated with the presence of a high-grade tumor. Thus, PTX3 may represent a new marker of cancer-related inflammation and glioma malignancy. © 2013 Elsevier B.V.","author":[{"dropping-particle":"","family":"Locatelli","given":"Marco","non-dropping-particle":"","parse-names":false,"suffix":""},{"dropping-particle":"","family":"Ferrero","given":"Stefano","non-dropping-particle":"","parse-names":false,"suffix":""},{"dropping-particle":"","family":"Martinelli Boneschi","given":"Filippo","non-dropping-particle":"","parse-names":false,"suffix":""},{"dropping-particle":"","family":"Boiocchi","given":"Leonardo","non-dropping-particle":"","parse-names":false,"suffix":""},{"dropping-particle":"","family":"Zavanone","given":"Mario","non-dropping-particle":"","parse-names":false,"suffix":""},{"dropping-particle":"","family":"Maria Gaini","given":"Sergio","non-dropping-particle":"","parse-names":false,"suffix":""},{"dropping-particle":"","family":"Bello","given":"Lorenzo","non-dropping-particle":"","parse-names":false,"suffix":""},{"dropping-particle":"","family":"Valentino","given":"Sonia","non-dropping-particle":"","parse-names":false,"suffix":""},{"dropping-particle":"","family":"Barbati","given":"Elisa","non-dropping-particle":"","parse-names":false,"suffix":""},{"dropping-particle":"","family":"Nebuloni","given":"Manuela","non-dropping-particle":"","parse-names":false,"suffix":""},{"dropping-particle":"","family":"Mantovani","given":"Alberto","non-dropping-particle":"","parse-names":false,"suffix":""},{"dropping-particle":"","family":"Garlanda","given":"Cecilia","non-dropping-particle":"","parse-names":false,"suffix":""}],"container-title":"Journal of Neuroimmunology","id":"ITEM-1","issue":"1-2","issued":{"date-parts":[["2013"]]},"page":"99-106","publisher":"Elsevier B.V.","title":"The long pentraxin PTX3 as a correlate of cancer-related inflammation and prognosis of malignancy in gliomas","type":"article-journal","volume":"260"},"uris":["http://www.mendeley.com/documents/?uuid=75bbd1f4-7c19-4228-b380-70656407c560"]},{"id":"ITEM-2","itemData":{"DOI":"10.1007/s11060-016-2168-z","ISBN":"1106001621","ISSN":"15737373","abstract":"Pentraxin 3 (PTX3) is an inflammatory molecule that is involved in immune responses, inflammation, and cancer. Recent evidence suggests that PTX3 plays a critical role in tumor progression; however, its impact on the biological function of gliomas remains unknown. In the present study, immunohistochemical staining showed that patients with high-grade gliomas exhibited increased expression levels of PTX3 compared to those with low-grade gliomas (P &lt; 0.001). Furthermore, knockdown of PTX3 in GBM8401 cells inhibits proliferation, increases p21 protein levels, and decreases cyclin D1 protein levels, resulting in cell cycle arrest at the G0/G1 phase. In addition, knockdown of PTX3 significantly decreases GBM8401 cell migration and invasion through the downregulation of matrix metalloproteinase-1 and -2 (MMP-1 and MMP-2) expression. In a GBM8401 xenograft animal model, PTX3 knockdown decreases tumor growth in vivo. In conclusion, PTX3 plays an important role in glioma cell proliferation and invasion, and may thus serve as a novel potential therapeutic target in the treatment of gliomas.","author":[{"dropping-particle":"","family":"Tung","given":"Jai Nien","non-dropping-particle":"","parse-names":false,"suffix":""},{"dropping-particle":"","family":"Ko","given":"Chung Po","non-dropping-particle":"","parse-names":false,"suffix":""},{"dropping-particle":"","family":"Yang","given":"Shun Fa","non-dropping-particle":"","parse-names":false,"suffix":""},{"dropping-particle":"","family":"Cheng","given":"Chun Wen","non-dropping-particle":"","parse-names":false,"suffix":""},{"dropping-particle":"","family":"Chen","given":"Pei Ni","non-dropping-particle":"","parse-names":false,"suffix":""},{"dropping-particle":"","family":"Chang","given":"Chia Yu","non-dropping-particle":"","parse-names":false,"suffix":""},{"dropping-particle":"","family":"Lin","given":"Chia Liang","non-dropping-particle":"","parse-names":false,"suffix":""},{"dropping-particle":"","family":"Yang","given":"Te Fang","non-dropping-particle":"","parse-names":false,"suffix":""},{"dropping-particle":"","family":"Hsieh","given":"Yi Hsien","non-dropping-particle":"","parse-names":false,"suffix":""},{"dropping-particle":"","family":"Chen","given":"Kun Chung","non-dropping-particle":"","parse-names":false,"suffix":""}],"container-title":"Journal of Neuro-Oncology","id":"ITEM-2","issue":"2","issued":{"date-parts":[["2016"]]},"page":"201-209","publisher":"Springer US","title":"Inhibition of pentraxin 3 in glioma cells impairs proliferation and invasion in vitro and in vivo","type":"article-journal","volume":"129"},"uris":["http://www.mendeley.com/documents/?uuid=7e024ef2-929d-4125-84f8-9d0e9621b63a"]}],"mendeley":{"formattedCitation":"(Locatelli &lt;i&gt;et al.&lt;/i&gt;, 2013; Tung &lt;i&gt;et al.&lt;/i&gt;, 2016)","manualFormatting":"(Locatelli i sur., 2013; Tung i sur., 2016)","plainTextFormattedCitation":"(Locatelli et al., 2013; Tung et al., 2016)","previouslyFormattedCitation":"(Locatelli &lt;i&gt;et al.&lt;/i&gt;, 2013; Tung &lt;i&gt;et al.&lt;/i&gt;, 2016)"},"properties":{"noteIndex":0},"schema":"https://github.com/citation-style-language/schema/raw/master/csl-citation.json"}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(Locatelli </w:t>
      </w:r>
      <w:r w:rsidR="003F4A87">
        <w:rPr>
          <w:rStyle w:val="Strong"/>
          <w:b w:val="0"/>
          <w:i/>
          <w:noProof/>
          <w:sz w:val="20"/>
          <w:szCs w:val="20"/>
        </w:rPr>
        <w:t>i sur.,</w:t>
      </w:r>
      <w:r w:rsidR="0014407F" w:rsidRPr="00E67E82">
        <w:rPr>
          <w:rStyle w:val="Strong"/>
          <w:b w:val="0"/>
          <w:noProof/>
          <w:sz w:val="20"/>
          <w:szCs w:val="20"/>
        </w:rPr>
        <w:t xml:space="preserve"> 2013; Tung </w:t>
      </w:r>
      <w:r w:rsidR="003F4A87">
        <w:rPr>
          <w:rStyle w:val="Strong"/>
          <w:b w:val="0"/>
          <w:i/>
          <w:noProof/>
          <w:sz w:val="20"/>
          <w:szCs w:val="20"/>
        </w:rPr>
        <w:t>i sur.,</w:t>
      </w:r>
      <w:r w:rsidR="0014407F" w:rsidRPr="00E67E82">
        <w:rPr>
          <w:rStyle w:val="Strong"/>
          <w:b w:val="0"/>
          <w:noProof/>
          <w:sz w:val="20"/>
          <w:szCs w:val="20"/>
        </w:rPr>
        <w:t xml:space="preserve"> 2016)</w:t>
      </w:r>
      <w:r w:rsidR="0014407F" w:rsidRPr="00E67E82">
        <w:rPr>
          <w:rStyle w:val="Strong"/>
          <w:b w:val="0"/>
          <w:sz w:val="20"/>
          <w:szCs w:val="20"/>
        </w:rPr>
        <w:fldChar w:fldCharType="end"/>
      </w:r>
      <w:r w:rsidR="00EB6F9D" w:rsidRPr="00E67E82">
        <w:rPr>
          <w:rStyle w:val="Strong"/>
          <w:b w:val="0"/>
          <w:sz w:val="20"/>
          <w:szCs w:val="20"/>
        </w:rPr>
        <w:t>, liposarkoma</w:t>
      </w:r>
      <w:r w:rsidR="0014407F" w:rsidRPr="00E67E82">
        <w:rPr>
          <w:rStyle w:val="Strong"/>
          <w:b w:val="0"/>
          <w:sz w:val="20"/>
          <w:szCs w:val="20"/>
        </w:rPr>
        <w:t xml:space="preserv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{"citationItems":[{"id":"ITEM-1","itemData":{"DOI":"10.1016/j.ejca.2006.05.035","ISSN":"09598049","abstract":"A unique feature of human soft tissue liposarcoma is a stable (12;16)(q13;p11) translocation observed mainly in myxoid and roundcell liposarcomas. This translocation results in FUS/CHOP fusion transcripts with a corresponding oncogenic protein. We hypothesised that genes downstream of FUS/CHOP might serve as attractive candidates for novel tumour associated antigens. Among a panel of analysed genes, only pentraxin related gene (PTX3) demonstrated high expression in liposarcomas as compared to normal tissues. The analysis of RNA and protein expression demonstrated concordant results. However, the level of RNA and protein overexpression did not correlate in all cases. Finally, PTX3 expression was not related to presence of a FUS/CHOP fusion transcript within the liposarcoma tissues. PTX3 has been associated with adipocyte differentiation and now, additionally, is characterised by a markedly increased expression in human soft tissue liposarcoma. This finding mandates further research efforts to clarify the exact role of PTX3 in liposarcoma oncogenesis. © 2006 Elsevier Ltd. All rights reserved.","author":[{"dropping-particle":"","family":"Willeke","given":"F.","non-dropping-particle":"","parse-names":false,"suffix":""},{"dropping-particle":"","family":"Assad","given":"A.","non-dropping-particle":"","parse-names":false,"suffix":""},{"dropping-particle":"","family":"Findeisen","given":"P.","non-dropping-particle":"","parse-names":false,"suffix":""},{"dropping-particle":"","family":"Schromm","given":"E.","non-dropping-particle":"","parse-names":false,"suffix":""},{"dropping-particle":"","family":"Grobholz","given":"R.","non-dropping-particle":"","parse-names":false,"suffix":""},{"dropping-particle":"","family":"Gerstenbergk","given":"B.","non-dropping-particle":"von","parse-names":false,"suffix":""},{"dropping-particle":"","family":"Mantovani","given":"A.","non-dropping-particle":"","parse-names":false,"suffix":""},{"dropping-particle":"","family":"Peri","given":"S.","non-dropping-particle":"","parse-names":false,"suffix":""},{"dropping-particle":"","family":"Friess","given":"H. H.","non-dropping-particle":"","parse-names":false,"suffix":""},{"dropping-particle":"","family":"Post","given":"S.","non-dropping-particle":"","parse-names":false,"suffix":""},{"dropping-particle":"","family":"Knebel Doeberitz","given":"M.","non-dropping-particle":"von","parse-names":false,"suffix":""},{"dropping-particle":"","family":"Schwarzbach","given":"M. H.M.","non-dropping-particle":"","parse-names":false,"suffix":""}],"container-title":"European Journal of Cancer","id":"ITEM-1","issue":"15","issued":{"date-parts":[["2006"]]},"page":"2639-2646","title":"Overexpression of a member of the pentraxin family (PTX3) in human soft tissue liposarcoma","type":"article-journal","volume":"42"},"uris":["http://www.mendeley.com/documents/?uuid=829a7113-405f-4382-80c9-f491ebc03bfb"]}],"mendeley":{"formattedCitation":"(Willeke &lt;i&gt;et al.&lt;/i&gt;, 2006)","manualFormatting":"(Willeke i sur., 2006)","plainTextFormattedCitation":"(Willeke et al., 2006)","previouslyFormattedCitation":"(Willeke &lt;i&gt;et al.&lt;/i&gt;, 2006)"},"properties":{"noteIndex":0},"schema":"https://github.com/citation-style-language/schema/raw/master/csl-citation.json"}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(Willeke </w:t>
      </w:r>
      <w:r w:rsidR="003F4A87">
        <w:rPr>
          <w:rStyle w:val="Strong"/>
          <w:b w:val="0"/>
          <w:i/>
          <w:noProof/>
          <w:sz w:val="20"/>
          <w:szCs w:val="20"/>
        </w:rPr>
        <w:t>i sur.,</w:t>
      </w:r>
      <w:r w:rsidR="0014407F" w:rsidRPr="00E67E82">
        <w:rPr>
          <w:rStyle w:val="Strong"/>
          <w:b w:val="0"/>
          <w:noProof/>
          <w:sz w:val="20"/>
          <w:szCs w:val="20"/>
        </w:rPr>
        <w:t xml:space="preserve"> 2006)</w:t>
      </w:r>
      <w:r w:rsidR="0014407F" w:rsidRPr="00E67E82">
        <w:rPr>
          <w:rStyle w:val="Strong"/>
          <w:b w:val="0"/>
          <w:sz w:val="20"/>
          <w:szCs w:val="20"/>
        </w:rPr>
        <w:fldChar w:fldCharType="end"/>
      </w:r>
      <w:r w:rsidR="00EB6F9D" w:rsidRPr="00E67E82">
        <w:rPr>
          <w:rStyle w:val="Strong"/>
          <w:b w:val="0"/>
          <w:sz w:val="20"/>
          <w:szCs w:val="20"/>
        </w:rPr>
        <w:t>, karcinoma prostate</w:t>
      </w:r>
      <w:r w:rsidR="0014407F" w:rsidRPr="00E67E82">
        <w:rPr>
          <w:rStyle w:val="Strong"/>
          <w:b w:val="0"/>
          <w:sz w:val="20"/>
          <w:szCs w:val="20"/>
        </w:rPr>
        <w:t xml:space="preserve"> </w:t>
      </w:r>
      <w:r w:rsidR="0014407F" w:rsidRPr="00E67E82">
        <w:rPr>
          <w:rStyle w:val="Strong"/>
          <w:b w:val="0"/>
          <w:sz w:val="20"/>
          <w:szCs w:val="20"/>
        </w:rPr>
        <w:fldChar w:fldCharType="begin" w:fldLock="1"/>
      </w:r>
      <w:r w:rsidR="00F41B60">
        <w:rPr>
          <w:rStyle w:val="Strong"/>
          <w:b w:val="0"/>
          <w:sz w:val="20"/>
          <w:szCs w:val="20"/>
        </w:rPr>
        <w:instrText>ADDIN CSL_CITATION {"citationItems":[{"id":"ITEM-1","itemData":{"DOI":"10.1002/pros.20966","ISSN":"02704137","abstract":"Recent studies have underlined the role of tumor cells in the endogenous synthesis of pro-inflammatory molecules. We tested whether malignant progression in prostate cancer was associated with the activation of a phenotype typical of the innate immune system.","author":[{"dropping-particle":"","family":"Ravenna","given":"Linda","non-dropping-particle":"","parse-names":false,"suffix":""},{"dropping-particle":"","family":"Sale","given":"Patrizio","non-dropping-particle":"","parse-names":false,"suffix":""},{"dropping-particle":"","family":"Vito","given":"Maura","non-dropping-particle":"Di","parse-names":false,"suffix":""},{"dropping-particle":"","family":"Russo","given":"Andrea","non-dropping-particle":"","parse-names":false,"suffix":""},{"dropping-particle":"","family":"Salvatori","given":"Luisa","non-dropping-particle":"","parse-names":false,"suffix":""},{"dropping-particle":"","family":"Tafani","given":"Marco","non-dropping-particle":"","parse-names":false,"suffix":""},{"dropping-particle":"","family":"Mari","given":"Emanuela","non-dropping-particle":"","parse-names":false,"suffix":""},{"dropping-particle":"","family":"Sentinelli","given":"Steno","non-dropping-particle":"","parse-names":false,"suffix":""},{"dropping-particle":"","family":"Petrangeli","given":"Elisa","non-dropping-particle":"","parse-names":false,"suffix":""},{"dropping-particle":"","family":"Gallucci","given":"Michele","non-dropping-particle":"","parse-names":false,"suffix":""},{"dropping-particle":"","family":"Silverio","given":"Franco","non-dropping-particle":"Di","parse-names":false,"suffix":""},{"dropping-particle":"","family":"Russo","given":"Matteo A.","non-dropping-particle":"","parse-names":false,"suffix":""}],"container-title":"Prostate","id":"ITEM-1","issue":"11","issued":{"date-parts":[["2009"]]},"page":"1245-1255","title":"Up-regulation of the inflammatory-reparative phenotype in human prostate carcinoma","type":"article-journal","volume":"69"},"uris":["http://www.mendeley.com/documents/?uuid=8974cd18-8624-4e6a-adc7-ba0564770432"]}],"mendeley":{"formattedCitation":"(Ravenna &lt;i&gt;et al.&lt;/i&gt;, 2009)","manualFormatting":"(Ravenna i sur., 2009)","plainTextFormattedCitation":"(Ravenna et al., 2009)","previouslyFormattedCitation":"(Ravenna &lt;i&gt;et al.&lt;/i&gt;, 2009)"},"properties":{"noteIndex":0},"schema":"https://github.com/citation-style-language/schema/raw/master/csl-citation.json"}</w:instrText>
      </w:r>
      <w:r w:rsidR="0014407F" w:rsidRPr="00E67E82">
        <w:rPr>
          <w:rStyle w:val="Strong"/>
          <w:b w:val="0"/>
          <w:sz w:val="20"/>
          <w:szCs w:val="20"/>
        </w:rPr>
        <w:fldChar w:fldCharType="separate"/>
      </w:r>
      <w:r w:rsidR="0014407F" w:rsidRPr="00E67E82">
        <w:rPr>
          <w:rStyle w:val="Strong"/>
          <w:b w:val="0"/>
          <w:noProof/>
          <w:sz w:val="20"/>
          <w:szCs w:val="20"/>
        </w:rPr>
        <w:t xml:space="preserve">(Ravenna </w:t>
      </w:r>
      <w:r w:rsidR="003F4A87">
        <w:rPr>
          <w:rStyle w:val="Strong"/>
          <w:b w:val="0"/>
          <w:i/>
          <w:noProof/>
          <w:sz w:val="20"/>
          <w:szCs w:val="20"/>
        </w:rPr>
        <w:t>i sur.,</w:t>
      </w:r>
      <w:r w:rsidR="0014407F" w:rsidRPr="00E67E82">
        <w:rPr>
          <w:rStyle w:val="Strong"/>
          <w:b w:val="0"/>
          <w:noProof/>
          <w:sz w:val="20"/>
          <w:szCs w:val="20"/>
        </w:rPr>
        <w:t xml:space="preserve"> 2009)</w:t>
      </w:r>
      <w:r w:rsidR="0014407F" w:rsidRPr="00E67E82">
        <w:rPr>
          <w:rStyle w:val="Strong"/>
          <w:b w:val="0"/>
          <w:sz w:val="20"/>
          <w:szCs w:val="20"/>
        </w:rPr>
        <w:fldChar w:fldCharType="end"/>
      </w:r>
      <w:r w:rsidR="00EB6F9D" w:rsidRPr="00E67E82">
        <w:rPr>
          <w:rStyle w:val="Strong"/>
          <w:b w:val="0"/>
          <w:sz w:val="20"/>
          <w:szCs w:val="20"/>
        </w:rPr>
        <w:t>, karcinoma pluća</w:t>
      </w:r>
      <w:r w:rsidR="00F00649" w:rsidRPr="00E67E82">
        <w:rPr>
          <w:rStyle w:val="Strong"/>
          <w:b w:val="0"/>
          <w:sz w:val="20"/>
          <w:szCs w:val="20"/>
        </w:rPr>
        <w:t xml:space="preserve"> </w:t>
      </w:r>
      <w:r w:rsidR="00F00649" w:rsidRPr="00E67E82">
        <w:rPr>
          <w:rStyle w:val="Strong"/>
          <w:b w:val="0"/>
          <w:sz w:val="20"/>
          <w:szCs w:val="20"/>
        </w:rPr>
        <w:fldChar w:fldCharType="begin" w:fldLock="1"/>
      </w:r>
      <w:r w:rsidR="00F41B60">
        <w:rPr>
          <w:rStyle w:val="Strong"/>
          <w:b w:val="0"/>
          <w:sz w:val="20"/>
          <w:szCs w:val="20"/>
        </w:rPr>
        <w:instrText>ADDIN CSL_CITATION {"citationItems":[{"id":"ITEM-1","itemData":{"DOI":"10.1158/1078-0432.CCR-10-3024","ISSN":"10780432","abstract":"Our objective was to validate the performance of three new candidate lung cancer biomarkers, pentraxin-3 (PTX3), human kallikrein 11 (KLK11), and progranulin.","author":[{"dropping-particle":"","family":"Diamandis","given":"Eleftherios P.","non-dropping-particle":"","parse-names":false,"suffix":""},{"dropping-particle":"","family":"Goodglick","given":"Lee","non-dropping-particle":"","parse-names":false,"suffix":""},{"dropping-particle":"","family":"Planque","given":"Chris","non-dropping-particle":"","parse-names":false,"suffix":""},{"dropping-particle":"","family":"Thornquist","given":"Mark D.","non-dropping-particle":"","parse-names":false,"suffix":""}],"container-title":"Clinical Cancer Research","id":"ITEM-1","issue":"8","issued":{"date-parts":[["2011"]]},"page":"2395-2399","title":"Pentraxin-3 is a novel biomarker of lung carcinoma","type":"article-journal","volume":"17"},"uris":["http://www.mendeley.com/documents/?uuid=b86cd84d-e3f2-4802-9511-7861ff187956"]}],"mendeley":{"formattedCitation":"(Diamandis &lt;i&gt;et al.&lt;/i&gt;, 2011)","manualFormatting":"(Diamandis i sur., 2011)","plainTextFormattedCitation":"(Diamandis et al., 2011)","previouslyFormattedCitation":"(Diamandis &lt;i&gt;et al.&lt;/i&gt;, 2011)"},"properties":{"noteIndex":0},"schema":"https://github.com/citation-style-language/schema/raw/master/csl-citation.json"}</w:instrText>
      </w:r>
      <w:r w:rsidR="00F00649" w:rsidRPr="00E67E82">
        <w:rPr>
          <w:rStyle w:val="Strong"/>
          <w:b w:val="0"/>
          <w:sz w:val="20"/>
          <w:szCs w:val="20"/>
        </w:rPr>
        <w:fldChar w:fldCharType="separate"/>
      </w:r>
      <w:r w:rsidR="00F00649" w:rsidRPr="00E67E82">
        <w:rPr>
          <w:rStyle w:val="Strong"/>
          <w:b w:val="0"/>
          <w:noProof/>
          <w:sz w:val="20"/>
          <w:szCs w:val="20"/>
        </w:rPr>
        <w:t xml:space="preserve">(Diamandis </w:t>
      </w:r>
      <w:r w:rsidR="003F4A87">
        <w:rPr>
          <w:rStyle w:val="Strong"/>
          <w:b w:val="0"/>
          <w:i/>
          <w:noProof/>
          <w:sz w:val="20"/>
          <w:szCs w:val="20"/>
        </w:rPr>
        <w:t>i sur.,</w:t>
      </w:r>
      <w:r w:rsidR="00F00649" w:rsidRPr="00E67E82">
        <w:rPr>
          <w:rStyle w:val="Strong"/>
          <w:b w:val="0"/>
          <w:noProof/>
          <w:sz w:val="20"/>
          <w:szCs w:val="20"/>
        </w:rPr>
        <w:t xml:space="preserve"> 2011)</w:t>
      </w:r>
      <w:r w:rsidR="00F00649" w:rsidRPr="00E67E82">
        <w:rPr>
          <w:rStyle w:val="Strong"/>
          <w:b w:val="0"/>
          <w:sz w:val="20"/>
          <w:szCs w:val="20"/>
        </w:rPr>
        <w:fldChar w:fldCharType="end"/>
      </w:r>
      <w:r w:rsidR="00EB6F9D" w:rsidRPr="00E67E82">
        <w:rPr>
          <w:rStyle w:val="Strong"/>
          <w:b w:val="0"/>
          <w:sz w:val="20"/>
          <w:szCs w:val="20"/>
        </w:rPr>
        <w:t xml:space="preserve"> i karcinoma želuca, a više razine PTX3 redovito su povezivane s lošijom prognozom</w:t>
      </w:r>
      <w:r w:rsidR="0014407F" w:rsidRPr="00E67E82">
        <w:rPr>
          <w:rStyle w:val="Strong"/>
          <w:b w:val="0"/>
          <w:sz w:val="20"/>
          <w:szCs w:val="20"/>
        </w:rPr>
        <w:t>.</w:t>
      </w:r>
      <w:r w:rsidR="00EB6F9D" w:rsidRPr="00E67E82">
        <w:rPr>
          <w:rStyle w:val="Strong"/>
          <w:b w:val="0"/>
          <w:color w:val="FF0000"/>
          <w:sz w:val="20"/>
          <w:szCs w:val="20"/>
        </w:rPr>
        <w:t xml:space="preserve"> </w:t>
      </w:r>
      <w:r w:rsidR="00EB6F9D" w:rsidRPr="00E67E82">
        <w:rPr>
          <w:rStyle w:val="Strong"/>
          <w:b w:val="0"/>
          <w:sz w:val="20"/>
          <w:szCs w:val="20"/>
        </w:rPr>
        <w:t xml:space="preserve">Choi i suradnici </w:t>
      </w:r>
      <w:r w:rsidR="006921C1" w:rsidRPr="00E67E82">
        <w:rPr>
          <w:rStyle w:val="Strong"/>
          <w:b w:val="0"/>
          <w:sz w:val="20"/>
          <w:szCs w:val="20"/>
        </w:rPr>
        <w:fldChar w:fldCharType="begin" w:fldLock="1"/>
      </w:r>
      <w:r w:rsidR="00F41B60">
        <w:rPr>
          <w:rStyle w:val="Strong"/>
          <w:b w:val="0"/>
          <w:sz w:val="20"/>
          <w:szCs w:val="20"/>
        </w:rPr>
        <w:instrText>ADDIN CSL_CITATION {"citationItems":[{"id":"ITEM-1","itemData":{"ISSN":"02507005","abstract":"Background: Chronic inflammation characterized by the recruitment and activation of macrophages has been implicated in the development of gastric cancer. Materials and Methods: Expression of the long form of pentraxin-3 (PTX3) in gastric cancer cells was examined by reverse transcription-polymerase chain reaction and enzyme-linked immunosorbent assay. The migratory capacity of gastric cancer cells and chemotaxis of macrophages by PTX3 were assessed by wound-healing and transwell assays. PTX3 silencing using small interfering RNA (siRNA) was performed to confirm PTX3-mediated effects. Results: We demonstrated that PTX3 expression was elevated in human advanced gastric cancer tissues with increased infiltration of CD11b+ macrophages. Tumor necrosis factor-alpha increased PTX3 expression via nuclear factor-kappa B activation in human gastric cancer cells. PTX3 promoted the tumor cell migratory potential, the recruitment of macrophages and their subsequent binding to gastric cancer cells. These effects were suppressed by PTX3 knockdown using siRNA. Conclusion: Our findings suggest that gastric cancer-derived PTX3 promotes macrophage recruitment, which may contribute to gastric cancer-related inflammation.","author":[{"dropping-particle":"","family":"Choi","given":"Bongkun","non-dropping-particle":"","parse-names":false,"suffix":""},{"dropping-particle":"","family":"Lee","given":"Eun Jin","non-dropping-particle":"","parse-names":false,"suffix":""},{"dropping-particle":"","family":"Park","given":"Young Soo","non-dropping-particle":"","parse-names":false,"suffix":""},{"dropping-particle":"","family":"Kim","given":"Sang Min","non-dropping-particle":"","parse-names":false,"suffix":""},{"dropping-particle":"","family":"Kim","given":"Eun Young","non-dropping-particle":"","parse-names":false,"suffix":""},{"dropping-particle":"","family":"Song","given":"Youngsup","non-dropping-particle":"","parse-names":false,"suffix":""},{"dropping-particle":"","family":"Kang","given":"Sang Wook","non-dropping-particle":"","parse-names":false,"suffix":""},{"dropping-particle":"","family":"Rhu","given":"Min Hee","non-dropping-particle":"","parse-names":false,"suffix":""},{"dropping-particle":"","family":"Chang","given":"Eun Ju","non-dropping-particle":"","parse-names":false,"suffix":""}],"container-title":"Anticancer Research","id":"ITEM-1","issue":"5","issued":{"date-parts":[["2015"]]},"page":"2663-2668","title":"Pentraxin-3 silencing suppresses gastric cancer-related inflammation by inhibiting chemotactic migration of macrophages","type":"article-journal","volume":"35"},"uris":["http://www.mendeley.com/documents/?uuid=343e1a4c-fa98-4eda-9e73-bd0c7e417872"]}],"mendeley":{"formattedCitation":"(Choi &lt;i&gt;et al.&lt;/i&gt;, 2015)","manualFormatting":"(Choi i sur., 2015)","plainTextFormattedCitation":"(Choi et al., 2015)","previouslyFormattedCitation":"(Choi &lt;i&gt;et al.&lt;/i&gt;, 2015)"},"properties":{"noteIndex":0},"schema":"https://github.com/citation-style-language/schema/raw/master/csl-citation.json"}</w:instrText>
      </w:r>
      <w:r w:rsidR="006921C1" w:rsidRPr="00E67E82">
        <w:rPr>
          <w:rStyle w:val="Strong"/>
          <w:b w:val="0"/>
          <w:sz w:val="20"/>
          <w:szCs w:val="20"/>
        </w:rPr>
        <w:fldChar w:fldCharType="separate"/>
      </w:r>
      <w:r w:rsidR="006921C1" w:rsidRPr="00E67E82">
        <w:rPr>
          <w:rStyle w:val="Strong"/>
          <w:b w:val="0"/>
          <w:noProof/>
          <w:sz w:val="20"/>
          <w:szCs w:val="20"/>
        </w:rPr>
        <w:t xml:space="preserve">(Choi </w:t>
      </w:r>
      <w:r w:rsidR="003F4A87">
        <w:rPr>
          <w:rStyle w:val="Strong"/>
          <w:b w:val="0"/>
          <w:i/>
          <w:noProof/>
          <w:sz w:val="20"/>
          <w:szCs w:val="20"/>
        </w:rPr>
        <w:t>i sur.,</w:t>
      </w:r>
      <w:r w:rsidR="006921C1" w:rsidRPr="00E67E82">
        <w:rPr>
          <w:rStyle w:val="Strong"/>
          <w:b w:val="0"/>
          <w:noProof/>
          <w:sz w:val="20"/>
          <w:szCs w:val="20"/>
        </w:rPr>
        <w:t xml:space="preserve"> 2015)</w:t>
      </w:r>
      <w:r w:rsidR="006921C1" w:rsidRPr="00E67E82">
        <w:rPr>
          <w:rStyle w:val="Strong"/>
          <w:b w:val="0"/>
          <w:sz w:val="20"/>
          <w:szCs w:val="20"/>
        </w:rPr>
        <w:fldChar w:fldCharType="end"/>
      </w:r>
      <w:r w:rsidR="00EB6F9D" w:rsidRPr="00E67E82">
        <w:rPr>
          <w:rStyle w:val="Strong"/>
          <w:b w:val="0"/>
          <w:sz w:val="20"/>
          <w:szCs w:val="20"/>
        </w:rPr>
        <w:t xml:space="preserve"> u svom su istraživanju pokazali povezanost između pojačane ekspresije PTX3 ovisne o TNF-α u stanicama humanog karcinoma želuca i invazivnog potencijala tih stanica. Nadalje, pojačana ekspresija PTX3 kemotaksijskim mehanizmima povećava regrutaciju makrofaga i njihovo vezanje za stanice želučanog karcinoma. Kako bi dodatno potvrdili tu povezanost, ekspresija PTX3 utišana je pomoću siRNA što je rezultiralo smanjenjem kemotaksije makrofaga. Naime, regrutacija makrofaga </w:t>
      </w:r>
      <w:r w:rsidR="00EB6F9D" w:rsidRPr="00E67E82">
        <w:rPr>
          <w:rStyle w:val="Strong"/>
          <w:b w:val="0"/>
          <w:sz w:val="20"/>
          <w:szCs w:val="20"/>
        </w:rPr>
        <w:lastRenderedPageBreak/>
        <w:t>važna je odrednica progresije tumora i metastatskog potencijala. Tako infiltracija M1 makrofagima predstavlja protektivni imuni odgovor protiv tumora, dok makrofagi u stromi tumora poprimaju M2-svojstva, a akumulacija tih stanica često se povezuje s progresijom različit</w:t>
      </w:r>
      <w:r w:rsidR="006921C1" w:rsidRPr="00E67E82">
        <w:rPr>
          <w:rStyle w:val="Strong"/>
          <w:b w:val="0"/>
          <w:sz w:val="20"/>
          <w:szCs w:val="20"/>
        </w:rPr>
        <w:t xml:space="preserve">ih tipova karcinoma </w:t>
      </w:r>
      <w:r w:rsidR="006921C1" w:rsidRPr="00E67E82">
        <w:rPr>
          <w:rStyle w:val="Strong"/>
          <w:b w:val="0"/>
          <w:sz w:val="20"/>
          <w:szCs w:val="20"/>
        </w:rPr>
        <w:fldChar w:fldCharType="begin" w:fldLock="1"/>
      </w:r>
      <w:r w:rsidR="00F41B60">
        <w:rPr>
          <w:rStyle w:val="Strong"/>
          <w:b w:val="0"/>
          <w:sz w:val="20"/>
          <w:szCs w:val="20"/>
        </w:rPr>
        <w:instrText>ADDIN CSL_CITATION {"citationItems":[{"id":"ITEM-1","itemData":{"DOI":"10.1016/j.cell.2010.03.014","ISSN":"1097-4172","PMID":"20371344","abstract":"There is persuasive clinical and experimental evidence that macrophages promote cancer initiation and malignant progression. During tumor initiation, they create an inflammatory environment that is mutagenic and promotes growth. As tumors progress to malignancy, macrophages stimulate angiogenesis, enhance tumor cell migration and invasion, and suppress antitumor immunity. At metastatic sites, macrophages prepare the target tissue for arrival of tumor cells, and then a different subpopulation of macrophages promotes tumor cell extravasation, survival, and subsequent growth. Specialized subpopulations of macrophages may represent important new therapeutic targets. © 2010 Elsevier Inc.","author":[{"dropping-particle":"","family":"Qian","given":"Bin-Zhi","non-dropping-particle":"","parse-names":false,"suffix":""},{"dropping-particle":"","family":"Pollard","given":"Jeffrey W","non-dropping-particle":"","parse-names":false,"suffix":""}],"container-title":"Cell","id":"ITEM-1","issue":"1","issued":{"date-parts":[["2010"]]},"page":"39-51","title":"Macrophage diversity enhances tumor progression and metastasis.","type":"article-journal","volume":"141"},"uris":["http://www.mendeley.com/documents/?uuid=26cb1581-fcaa-483f-8854-62df549fe5a0"]},{"id":"ITEM-2","itemData":{"DOI":"10.1038/ni.1937","ISSN":"15292908","abstract":"Plasticity is a hallmark of cells of the myelomonocytic lineage. In response to innate recognition or signals from lymphocyte subsets, mononuclear phagocytes undergo adaptive responses. Shaping of monocyte-macrophage function is an essential component of resistance to pathogens, tissue damage and repair. The orchestration of myelomonocytic cell function is a key element that links inflammation and cancer and provides a paradigm for macrophage plasticity and function. A better understanding of the molecular basis of myelomonocytic cell plasticity will open new vistas in immunopathology and therapeutic intervention.","author":[{"dropping-particle":"","family":"Biswas","given":"Subhra K.","non-dropping-particle":"","parse-names":false,"suffix":""},{"dropping-particle":"","family":"Mantovani","given":"Alberto","non-dropping-particle":"","parse-names":false,"suffix":""}],"container-title":"Nature Immunology","id":"ITEM-2","issue":"10","issued":{"date-parts":[["2010"]]},"page":"889-896","publisher":"Nature Publishing Group","title":"Macrophage plasticity and interaction with lymphocyte subsets: Cancer as a paradigm","type":"article-journal","volume":"11"},"uris":["http://www.mendeley.com/documents/?uuid=b59630d5-436f-436b-9162-d179385a1183"]}],"mendeley":{"formattedCitation":"(Biswas and Mantovani, 2010; Qian and Pollard, 2010)","manualFormatting":"(Biswas i Mantovani, 2010; Qian i Pollard, 2010)","plainTextFormattedCitation":"(Biswas and Mantovani, 2010; Qian and Pollard, 2010)","previouslyFormattedCitation":"(Biswas and Mantovani, 2010; Qian and Pollard, 2010)"},"properties":{"noteIndex":0},"schema":"https://github.com/citation-style-language/schema/raw/master/csl-citation.json"}</w:instrText>
      </w:r>
      <w:r w:rsidR="006921C1" w:rsidRPr="00E67E82">
        <w:rPr>
          <w:rStyle w:val="Strong"/>
          <w:b w:val="0"/>
          <w:sz w:val="20"/>
          <w:szCs w:val="20"/>
        </w:rPr>
        <w:fldChar w:fldCharType="separate"/>
      </w:r>
      <w:r w:rsidR="00FF0299" w:rsidRPr="00E67E82">
        <w:rPr>
          <w:rStyle w:val="Strong"/>
          <w:b w:val="0"/>
          <w:noProof/>
          <w:sz w:val="20"/>
          <w:szCs w:val="20"/>
        </w:rPr>
        <w:t xml:space="preserve">(Biswas </w:t>
      </w:r>
      <w:r w:rsidR="003F4A87">
        <w:rPr>
          <w:rStyle w:val="Strong"/>
          <w:b w:val="0"/>
          <w:noProof/>
          <w:sz w:val="20"/>
          <w:szCs w:val="20"/>
        </w:rPr>
        <w:t>i</w:t>
      </w:r>
      <w:r w:rsidR="00FF0299" w:rsidRPr="00E67E82">
        <w:rPr>
          <w:rStyle w:val="Strong"/>
          <w:b w:val="0"/>
          <w:noProof/>
          <w:sz w:val="20"/>
          <w:szCs w:val="20"/>
        </w:rPr>
        <w:t xml:space="preserve"> Mantovani, 2010; Qian </w:t>
      </w:r>
      <w:r w:rsidR="003F4A87">
        <w:rPr>
          <w:rStyle w:val="Strong"/>
          <w:b w:val="0"/>
          <w:noProof/>
          <w:sz w:val="20"/>
          <w:szCs w:val="20"/>
        </w:rPr>
        <w:t>i</w:t>
      </w:r>
      <w:r w:rsidR="00FF0299" w:rsidRPr="00E67E82">
        <w:rPr>
          <w:rStyle w:val="Strong"/>
          <w:b w:val="0"/>
          <w:noProof/>
          <w:sz w:val="20"/>
          <w:szCs w:val="20"/>
        </w:rPr>
        <w:t xml:space="preserve"> Pollard, 2010)</w:t>
      </w:r>
      <w:r w:rsidR="006921C1" w:rsidRPr="00E67E82">
        <w:rPr>
          <w:rStyle w:val="Strong"/>
          <w:b w:val="0"/>
          <w:sz w:val="20"/>
          <w:szCs w:val="20"/>
        </w:rPr>
        <w:fldChar w:fldCharType="end"/>
      </w:r>
      <w:r w:rsidR="006921C1" w:rsidRPr="00E67E82">
        <w:rPr>
          <w:rStyle w:val="Strong"/>
          <w:b w:val="0"/>
          <w:sz w:val="20"/>
          <w:szCs w:val="20"/>
        </w:rPr>
        <w:t xml:space="preserve">. </w:t>
      </w:r>
      <w:r w:rsidR="00EB6F9D" w:rsidRPr="00E67E82">
        <w:rPr>
          <w:rStyle w:val="Strong"/>
          <w:b w:val="0"/>
          <w:sz w:val="20"/>
          <w:szCs w:val="20"/>
        </w:rPr>
        <w:t>Ista skupina autora našla je povećanu ekspresiju PTX3 u koštanim metastazama humanog karcinoma želuca koje su povezane s osteolitičkom destrukcijom kosti. Povećana ekspresija PTX3 povećava ekspresiju RANKL u osteoblastima</w:t>
      </w:r>
      <w:r w:rsidR="006921C1" w:rsidRPr="00E67E82">
        <w:rPr>
          <w:rStyle w:val="Strong"/>
          <w:b w:val="0"/>
          <w:sz w:val="20"/>
          <w:szCs w:val="20"/>
        </w:rPr>
        <w:t xml:space="preserve"> i stimulira osteoklastogenezu </w:t>
      </w:r>
      <w:r w:rsidR="006921C1" w:rsidRPr="00E67E82">
        <w:rPr>
          <w:rStyle w:val="Strong"/>
          <w:b w:val="0"/>
          <w:sz w:val="20"/>
          <w:szCs w:val="20"/>
        </w:rPr>
        <w:fldChar w:fldCharType="begin" w:fldLock="1"/>
      </w:r>
      <w:r w:rsidR="00F41B60">
        <w:rPr>
          <w:rStyle w:val="Strong"/>
          <w:b w:val="0"/>
          <w:sz w:val="20"/>
          <w:szCs w:val="20"/>
        </w:rPr>
        <w:instrText>ADDIN CSL_CITATION {"citationItems":[{"id":"ITEM-1","itemData":{"DOI":"10.18632/oncotarget.10747","abstract":"The brain-derived neurotrophic factor (BDNF) activates its receptor, tropomyosin receptor kinase B (TrkB; also called NTRK2) that has been shown to promote the malignant progression of several cancers. In this study, we investigated the clinical and biological significance of the BDNF/TrkB axis in the progression of human gastric cancer. The increased co-expression of the BDNF/TrkB axis was significantly correlated with bone metastatic properties in advanced gastric cancers. BDNF acting via TrkB receptors increased the levels of long pentraxin 3 (PTX3) that was related to bone metastatic status of gastric cancer by enhancing gastric cancer-osteoblastic niche interactions. In bone metastatic gastric cancer, PTX3 knockdown using small interfering RNA significantly inhibited BDNF-induced interactions of cancer cells with osteoblasts. Moreover, BDNF-derived PTX3 induction supported subsequent osteoclastogenesis, and this effect was significantly reversed by PTX3 silencing. These findings suggest that a functional interaction between BDNF/TrkB and PTX3 enhances the osteolysis of bone metastatic gastric cancer, thereby providing potential prognostic factors for the development of bone metastasis of gastric cancer.","author":[{"dropping-particle":"","family":"Choi","given":"Bongkun","non-dropping-particle":"","parse-names":false,"suffix":""},{"dropping-particle":"","family":"Lee","given":"Eun-Jin","non-dropping-particle":"","parse-names":false,"suffix":""},{"dropping-particle":"","family":"Shin","given":"Min-Kyung","non-dropping-particle":"","parse-names":false,"suffix":""},{"dropping-particle":"","family":"Park","given":"Young Soo","non-dropping-particle":"","parse-names":false,"suffix":""},{"dropping-particle":"","family":"Ryu","given":"Min-Hee","non-dropping-particle":"","parse-names":false,"suffix":""},{"dropping-particle":"","family":"Kim","given":"Sang-Min","non-dropping-particle":"","parse-names":false,"suffix":""},{"dropping-particle":"","family":"Kim","given":"Eun-Young","non-dropping-particle":"","parse-names":false,"suffix":""},{"dropping-particle":"","family":"Lee","given":"Hyung Keun","non-dropping-particle":"","parse-names":false,"suffix":""},{"dropping-particle":"","family":"Chang","given":"Eun-Ju","non-dropping-particle":"","parse-names":false,"suffix":""}],"container-title":"Oncotarget","id":"ITEM-1","issue":"34","issued":{"date-parts":[["2016"]]},"title":"Upregulation of brain-derived neurotrophic factor in advanced gastric cancer contributes to bone metastatic osteolysis by inducing long pentraxin 3","type":"article-journal","volume":"7"},"uris":["http://www.mendeley.com/documents/?uuid=ac57315d-9e06-4e64-afd8-349c7fc3f87a"]}],"mendeley":{"formattedCitation":"(Choi &lt;i&gt;et al.&lt;/i&gt;, 2016)","manualFormatting":"(Choi i sur., 2016)","plainTextFormattedCitation":"(Choi et al., 2016)","previouslyFormattedCitation":"(Choi &lt;i&gt;et al.&lt;/i&gt;, 2016)"},"properties":{"noteIndex":0},"schema":"https://github.com/citation-style-language/schema/raw/master/csl-citation.json"}</w:instrText>
      </w:r>
      <w:r w:rsidR="006921C1" w:rsidRPr="00E67E82">
        <w:rPr>
          <w:rStyle w:val="Strong"/>
          <w:b w:val="0"/>
          <w:sz w:val="20"/>
          <w:szCs w:val="20"/>
        </w:rPr>
        <w:fldChar w:fldCharType="separate"/>
      </w:r>
      <w:r w:rsidR="006921C1" w:rsidRPr="00E67E82">
        <w:rPr>
          <w:rStyle w:val="Strong"/>
          <w:b w:val="0"/>
          <w:noProof/>
          <w:sz w:val="20"/>
          <w:szCs w:val="20"/>
        </w:rPr>
        <w:t xml:space="preserve">(Choi </w:t>
      </w:r>
      <w:r w:rsidR="003F4A87">
        <w:rPr>
          <w:rStyle w:val="Strong"/>
          <w:b w:val="0"/>
          <w:i/>
          <w:noProof/>
          <w:sz w:val="20"/>
          <w:szCs w:val="20"/>
        </w:rPr>
        <w:t>i sur.,</w:t>
      </w:r>
      <w:r w:rsidR="006921C1" w:rsidRPr="00E67E82">
        <w:rPr>
          <w:rStyle w:val="Strong"/>
          <w:b w:val="0"/>
          <w:noProof/>
          <w:sz w:val="20"/>
          <w:szCs w:val="20"/>
        </w:rPr>
        <w:t xml:space="preserve"> 2016)</w:t>
      </w:r>
      <w:r w:rsidR="006921C1" w:rsidRPr="00E67E82">
        <w:rPr>
          <w:rStyle w:val="Strong"/>
          <w:b w:val="0"/>
          <w:sz w:val="20"/>
          <w:szCs w:val="20"/>
        </w:rPr>
        <w:fldChar w:fldCharType="end"/>
      </w:r>
      <w:r w:rsidR="006921C1" w:rsidRPr="00E67E82">
        <w:rPr>
          <w:rStyle w:val="Strong"/>
          <w:b w:val="0"/>
          <w:sz w:val="20"/>
          <w:szCs w:val="20"/>
        </w:rPr>
        <w:t xml:space="preserve">. </w:t>
      </w:r>
      <w:r w:rsidR="00EB6F9D" w:rsidRPr="00E67E82">
        <w:rPr>
          <w:rStyle w:val="Strong"/>
          <w:b w:val="0"/>
          <w:sz w:val="20"/>
          <w:szCs w:val="20"/>
        </w:rPr>
        <w:t xml:space="preserve">Slični učinci PTX3 opisani su i u koštanim </w:t>
      </w:r>
      <w:r w:rsidR="006921C1" w:rsidRPr="00E67E82">
        <w:rPr>
          <w:rStyle w:val="Strong"/>
          <w:b w:val="0"/>
          <w:sz w:val="20"/>
          <w:szCs w:val="20"/>
        </w:rPr>
        <w:t xml:space="preserve">metastazama karcinoma dojke </w:t>
      </w:r>
      <w:r w:rsidR="006921C1" w:rsidRPr="00E67E82">
        <w:rPr>
          <w:rStyle w:val="Strong"/>
          <w:b w:val="0"/>
          <w:sz w:val="20"/>
          <w:szCs w:val="20"/>
        </w:rPr>
        <w:fldChar w:fldCharType="begin" w:fldLock="1"/>
      </w:r>
      <w:r w:rsidR="00F41B60">
        <w:rPr>
          <w:rStyle w:val="Strong"/>
          <w:b w:val="0"/>
          <w:sz w:val="20"/>
          <w:szCs w:val="20"/>
        </w:rPr>
        <w:instrText>ADDIN CSL_CITATION {"citationItems":[{"id":"ITEM-1","itemData":{"abstract":"Pentraxin 3 (PTX3), a modulator of tumor-associated inflammation, is known to be positively correlated with tumor grade and severity of malignancies, but its exact role remains unclear. This study found that PTX3 expression was up-regulated in distant bone metastases of breast cancer compared to lung, liver, and brain metastases in 64 human breast cancer patients. Elevated expression of PTX3 was correlated with poor survival in patients with breast cancer. PTX3 expression was also up-regulated in a bone metastatic breast cancer cell line and further enhanced by pro-inflammatory cytokine TNFα. Administration of PTX3 promoted the migratory potential of breast cancer cells and the mobilization of macrophages, a precursor of osteoclasts (OCs), toward breast cancer cells. In addition, elevated expression of PTX3 by TNFα led to enhanced OC formation, implying the distinct role of PTX3 in osteolytic bone metastasis of breast cancer cells. Furthermore, PTX3 silencing using PTX3-specific siRNA prevented breast cancer cell migration, macrophage chemotaxis, and subsequent OC formation. These findings provide an important insight into the key role of PTX3 in inflammation-associated osteolytic complications of breast cancer.","author":[{"dropping-particle":"","family":"Choi","given":"Bongkun","non-dropping-particle":"","parse-names":false,"suffix":""},{"dropping-particle":"","family":"Lee","given":"Eun-Jin","non-dropping-particle":"","parse-names":false,"suffix":""},{"dropping-particle":"","family":"Song","given":"Da-Hyun","non-dropping-particle":"","parse-names":false,"suffix":""},{"dropping-particle":"","family":"Yoon","given":"Sung-Chul","non-dropping-particle":"","parse-names":false,"suffix":""},{"dropping-particle":"","family":"Chung","given":"Yeon-Ho","non-dropping-particle":"","parse-names":false,"suffix":""},{"dropping-particle":"","family":"Jang","given":"Youngsaeng","non-dropping-particle":"","parse-names":false,"suffix":""},{"dropping-particle":"","family":"Kim","given":"Sang-Min","non-dropping-particle":"","parse-names":false,"suffix":""},{"dropping-particle":"","family":"Song","given":"Youngsup","non-dropping-particle":"","parse-names":false,"suffix":""},{"dropping-particle":"","family":"Kang","given":"Sang-Wook","non-dropping-particle":"","parse-names":false,"suffix":""},{"dropping-particle":"","family":"Yoon","given":"Seung-Yong","non-dropping-particle":"","parse-names":false,"suffix":""},{"dropping-particle":"","family":"Chang","given":"Eun-Ju","non-dropping-particle":"","parse-names":false,"suffix":""}],"container-title":"Oncotarget","id":"ITEM-1","issue":"2","issued":{"date-parts":[["2014"]]},"title":"Oncotarget 481 www.impactjournals.com/oncotarget Elevated Pentraxin 3 in bone metastatic breast cancer is correlated with osteolytic function","type":"article-journal","volume":"5"},"uris":["http://www.mendeley.com/documents/?uuid=7ce3e796-2ac4-4ff5-8a62-42dd7e030c1a"]}],"mendeley":{"formattedCitation":"(Choi &lt;i&gt;et al.&lt;/i&gt;, 2014)","manualFormatting":"(Choi i sur., 2014)","plainTextFormattedCitation":"(Choi et al., 2014)","previouslyFormattedCitation":"(Choi &lt;i&gt;et al.&lt;/i&gt;, 2014)"},"properties":{"noteIndex":0},"schema":"https://github.com/citation-style-language/schema/raw/master/csl-citation.json"}</w:instrText>
      </w:r>
      <w:r w:rsidR="006921C1" w:rsidRPr="00E67E82">
        <w:rPr>
          <w:rStyle w:val="Strong"/>
          <w:b w:val="0"/>
          <w:sz w:val="20"/>
          <w:szCs w:val="20"/>
        </w:rPr>
        <w:fldChar w:fldCharType="separate"/>
      </w:r>
      <w:r w:rsidR="006921C1" w:rsidRPr="00E67E82">
        <w:rPr>
          <w:rStyle w:val="Strong"/>
          <w:b w:val="0"/>
          <w:noProof/>
          <w:sz w:val="20"/>
          <w:szCs w:val="20"/>
        </w:rPr>
        <w:t xml:space="preserve">(Choi </w:t>
      </w:r>
      <w:r w:rsidR="003F4A87">
        <w:rPr>
          <w:rStyle w:val="Strong"/>
          <w:b w:val="0"/>
          <w:i/>
          <w:noProof/>
          <w:sz w:val="20"/>
          <w:szCs w:val="20"/>
        </w:rPr>
        <w:t>i sur.,</w:t>
      </w:r>
      <w:r w:rsidR="006921C1" w:rsidRPr="00E67E82">
        <w:rPr>
          <w:rStyle w:val="Strong"/>
          <w:b w:val="0"/>
          <w:noProof/>
          <w:sz w:val="20"/>
          <w:szCs w:val="20"/>
        </w:rPr>
        <w:t xml:space="preserve"> 2014)</w:t>
      </w:r>
      <w:r w:rsidR="006921C1" w:rsidRPr="00E67E82">
        <w:rPr>
          <w:rStyle w:val="Strong"/>
          <w:b w:val="0"/>
          <w:sz w:val="20"/>
          <w:szCs w:val="20"/>
        </w:rPr>
        <w:fldChar w:fldCharType="end"/>
      </w:r>
      <w:r w:rsidR="006921C1" w:rsidRPr="00E67E82">
        <w:rPr>
          <w:rStyle w:val="Strong"/>
          <w:b w:val="0"/>
          <w:sz w:val="20"/>
          <w:szCs w:val="20"/>
        </w:rPr>
        <w:t xml:space="preserve">. </w:t>
      </w:r>
      <w:r w:rsidR="00EB6F9D" w:rsidRPr="00E67E82">
        <w:rPr>
          <w:rStyle w:val="Strong"/>
          <w:b w:val="0"/>
          <w:sz w:val="20"/>
          <w:szCs w:val="20"/>
        </w:rPr>
        <w:t>Povećana ekspresija PTX3 rezultat je pojačane aktivacije  BDNF/TrkB sustava. Brain-derived neurotrophic factor (BDNF) aktivira tropomyo</w:t>
      </w:r>
      <w:r w:rsidR="006C03E8">
        <w:rPr>
          <w:rStyle w:val="Strong"/>
          <w:b w:val="0"/>
          <w:sz w:val="20"/>
          <w:szCs w:val="20"/>
        </w:rPr>
        <w:t>sin receptor kinase B (TrkB)</w:t>
      </w:r>
      <w:r w:rsidR="00EB6F9D" w:rsidRPr="00E67E82">
        <w:rPr>
          <w:rStyle w:val="Strong"/>
          <w:b w:val="0"/>
          <w:sz w:val="20"/>
          <w:szCs w:val="20"/>
        </w:rPr>
        <w:t>, a uloga ovog sustava opisuje se u patogenezi različitih tumora uključujući neuroblastom, karcinom pluća, hepatocelularni karcinom, karcinom ovarija, karcinom dojke, duktalni karcinom pankreasa, karci</w:t>
      </w:r>
      <w:r w:rsidR="009C742C">
        <w:rPr>
          <w:rStyle w:val="Strong"/>
          <w:b w:val="0"/>
          <w:sz w:val="20"/>
          <w:szCs w:val="20"/>
        </w:rPr>
        <w:t xml:space="preserve">nom prostate i multipli mijelom </w:t>
      </w:r>
      <w:r w:rsidR="009C742C">
        <w:rPr>
          <w:rStyle w:val="Strong"/>
          <w:b w:val="0"/>
          <w:sz w:val="20"/>
          <w:szCs w:val="20"/>
        </w:rPr>
        <w:fldChar w:fldCharType="begin" w:fldLock="1"/>
      </w:r>
      <w:r w:rsidR="009C742C">
        <w:rPr>
          <w:rStyle w:val="Strong"/>
          <w:b w:val="0"/>
          <w:sz w:val="20"/>
          <w:szCs w:val="20"/>
        </w:rPr>
        <w:instrText>ADDIN CSL_CITATION {"citationItems":[{"id":"ITEM-1","itemData":{"DOI":"10.18632/oncotarget.10747","abstract":"The brain-derived neurotrophic factor (BDNF) activates its receptor, tropomyosin receptor kinase B (TrkB; also called NTRK2) that has been shown to promote the malignant progression of several cancers. In this study, we investigated the clinical and biological significance of the BDNF/TrkB axis in the progression of human gastric cancer. The increased co-expression of the BDNF/TrkB axis was significantly correlated with bone metastatic properties in advanced gastric cancers. BDNF acting via TrkB receptors increased the levels of long pentraxin 3 (PTX3) that was related to bone metastatic status of gastric cancer by enhancing gastric cancer-osteoblastic niche interactions. In bone metastatic gastric cancer, PTX3 knockdown using small interfering RNA significantly inhibited BDNF-induced interactions of cancer cells with osteoblasts. Moreover, BDNF-derived PTX3 induction supported subsequent osteoclastogenesis, and this effect was significantly reversed by PTX3 silencing. These findings suggest that a functional interaction between BDNF/TrkB and PTX3 enhances the osteolysis of bone metastatic gastric cancer, thereby providing potential prognostic factors for the development of bone metastasis of gastric cancer.","author":[{"dropping-particle":"","family":"Choi","given":"Bongkun","non-dropping-particle":"","parse-names":false,"suffix":""},{"dropping-particle":"","family":"Lee","given":"Eun-Jin","non-dropping-particle":"","parse-names":false,"suffix":""},{"dropping-particle":"","family":"Shin","given":"Min-Kyung","non-dropping-particle":"","parse-names":false,"suffix":""},{"dropping-particle":"","family":"Park","given":"Young Soo","non-dropping-particle":"","parse-names":false,"suffix":""},{"dropping-particle":"","family":"Ryu","given":"Min-Hee","non-dropping-particle":"","parse-names":false,"suffix":""},{"dropping-particle":"","family":"Kim","given":"Sang-Min","non-dropping-particle":"","parse-names":false,"suffix":""},{"dropping-particle":"","family":"Kim","given":"Eun-Young","non-dropping-particle":"","parse-names":false,"suffix":""},{"dropping-particle":"","family":"Lee","given":"Hyung Keun","non-dropping-particle":"","parse-names":false,"suffix":""},{"dropping-particle":"","family":"Chang","given":"Eun-Ju","non-dropping-particle":"","parse-names":false,"suffix":""}],"container-title":"Oncotarget","id":"ITEM-1","issue":"34","issued":{"date-parts":[["2016"]]},"title":"Upregulation of brain-derived neurotrophic factor in advanced gastric cancer contributes to bone metastatic osteolysis by inducing long pentraxin 3","type":"article-journal","volume":"7"},"uris":["http://www.mendeley.com/documents/?uuid=ac57315d-9e06-4e64-afd8-349c7fc3f87a"]}],"mendeley":{"formattedCitation":"(Choi &lt;i&gt;et al.&lt;/i&gt;, 2016)","plainTextFormattedCitation":"(Choi et al., 2016)"},"properties":{"noteIndex":0},"schema":"https://github.com/citation-style-language/schema/raw/master/csl-citation.json"}</w:instrText>
      </w:r>
      <w:r w:rsidR="009C742C">
        <w:rPr>
          <w:rStyle w:val="Strong"/>
          <w:b w:val="0"/>
          <w:sz w:val="20"/>
          <w:szCs w:val="20"/>
        </w:rPr>
        <w:fldChar w:fldCharType="separate"/>
      </w:r>
      <w:r w:rsidR="009C742C" w:rsidRPr="009C742C">
        <w:rPr>
          <w:rStyle w:val="Strong"/>
          <w:b w:val="0"/>
          <w:noProof/>
          <w:sz w:val="20"/>
          <w:szCs w:val="20"/>
        </w:rPr>
        <w:t xml:space="preserve">(Choi </w:t>
      </w:r>
      <w:r w:rsidR="009C742C" w:rsidRPr="009C742C">
        <w:rPr>
          <w:rStyle w:val="Strong"/>
          <w:b w:val="0"/>
          <w:i/>
          <w:noProof/>
          <w:sz w:val="20"/>
          <w:szCs w:val="20"/>
        </w:rPr>
        <w:t>et al.</w:t>
      </w:r>
      <w:r w:rsidR="009C742C" w:rsidRPr="009C742C">
        <w:rPr>
          <w:rStyle w:val="Strong"/>
          <w:b w:val="0"/>
          <w:noProof/>
          <w:sz w:val="20"/>
          <w:szCs w:val="20"/>
        </w:rPr>
        <w:t>, 2016)</w:t>
      </w:r>
      <w:r w:rsidR="009C742C">
        <w:rPr>
          <w:rStyle w:val="Strong"/>
          <w:b w:val="0"/>
          <w:sz w:val="20"/>
          <w:szCs w:val="20"/>
        </w:rPr>
        <w:fldChar w:fldCharType="end"/>
      </w:r>
      <w:r w:rsidR="009C742C">
        <w:rPr>
          <w:rStyle w:val="Strong"/>
          <w:b w:val="0"/>
          <w:sz w:val="20"/>
          <w:szCs w:val="20"/>
        </w:rPr>
        <w:t>.</w:t>
      </w:r>
      <w:r w:rsidR="00FF0299" w:rsidRPr="00E67E82">
        <w:rPr>
          <w:rStyle w:val="Strong"/>
          <w:b w:val="0"/>
          <w:color w:val="FF0000"/>
          <w:sz w:val="20"/>
          <w:szCs w:val="20"/>
        </w:rPr>
        <w:t xml:space="preserve"> </w:t>
      </w:r>
      <w:r w:rsidR="00FF0299" w:rsidRPr="00E67E82">
        <w:rPr>
          <w:rStyle w:val="Strong"/>
          <w:b w:val="0"/>
          <w:sz w:val="20"/>
          <w:szCs w:val="20"/>
        </w:rPr>
        <w:t xml:space="preserve">Dosadašnja istraživanja sugeriraju da u karcinomima želuca povećana ekspresija PTX3 ima tumorpromotorsku ulogu. Iako se ukupna incidencija karcinoma želuca u svijetu smanjuje u posljednjih 50-ak godina prvenstveno zbog agresivnijeg liječenja </w:t>
      </w:r>
      <w:r w:rsidR="00FF0299" w:rsidRPr="00E67E82">
        <w:rPr>
          <w:rStyle w:val="Strong"/>
          <w:b w:val="0"/>
          <w:i/>
          <w:sz w:val="20"/>
          <w:szCs w:val="20"/>
        </w:rPr>
        <w:t>H.pylori</w:t>
      </w:r>
      <w:r w:rsidR="00FF0299" w:rsidRPr="00E67E82">
        <w:rPr>
          <w:rStyle w:val="Strong"/>
          <w:b w:val="0"/>
          <w:sz w:val="20"/>
          <w:szCs w:val="20"/>
        </w:rPr>
        <w:t xml:space="preserve"> infekcije </w:t>
      </w:r>
      <w:r w:rsidR="00FF0299" w:rsidRPr="00E67E82">
        <w:rPr>
          <w:rStyle w:val="Strong"/>
          <w:b w:val="0"/>
          <w:sz w:val="20"/>
          <w:szCs w:val="20"/>
        </w:rPr>
        <w:fldChar w:fldCharType="begin" w:fldLock="1"/>
      </w:r>
      <w:r w:rsidR="00F41B60">
        <w:rPr>
          <w:rStyle w:val="Strong"/>
          <w:b w:val="0"/>
          <w:sz w:val="20"/>
          <w:szCs w:val="20"/>
        </w:rPr>
        <w:instrText>ADDIN CSL_CITATION {"citationItems":[{"id":"ITEM-1","itemData":{"DOI":"10.1007/s11894-017-0575-8","ISBN":"1189401705758","ISSN":"1534312X","abstract":"The paper aims to discuss the global trends in gastric cancer incidence in relation to important factors involved in the pathogenesis of gastric cancer.","author":[{"dropping-particle":"","family":"Balakrishnan","given":"Maya","non-dropping-particle":"","parse-names":false,"suffix":""},{"dropping-particle":"","family":"George","given":"Rollin","non-dropping-particle":"","parse-names":false,"suffix":""},{"dropping-particle":"","family":"Sharma","given":"Ashish","non-dropping-particle":"","parse-names":false,"suffix":""},{"dropping-particle":"","family":"Graham","given":"David Y.","non-dropping-particle":"","parse-names":false,"suffix":""}],"container-title":"Current Gastroenterology Reports","id":"ITEM-1","issue":"8","issued":{"date-parts":[["2017"]]},"publisher":"Current Gastroenterology Reports","title":"Changing Trends in Stomach Cancer Throughout the World","type":"article-journal","volume":"19"},"uris":["http://www.mendeley.com/documents/?uuid=17371c8b-3b97-42b0-8e66-9a13376f93c4"]}],"mendeley":{"formattedCitation":"(Balakrishnan &lt;i&gt;et al.&lt;/i&gt;, 2017)","manualFormatting":"(Balakrishnan i sur., 2017)","plainTextFormattedCitation":"(Balakrishnan et al., 2017)","previouslyFormattedCitation":"(Balakrishnan &lt;i&gt;et al.&lt;/i&gt;, 2017)"},"properties":{"noteIndex":0},"schema":"https://github.com/citation-style-language/schema/raw/master/csl-citation.json"}</w:instrText>
      </w:r>
      <w:r w:rsidR="00FF0299" w:rsidRPr="00E67E82">
        <w:rPr>
          <w:rStyle w:val="Strong"/>
          <w:b w:val="0"/>
          <w:sz w:val="20"/>
          <w:szCs w:val="20"/>
        </w:rPr>
        <w:fldChar w:fldCharType="separate"/>
      </w:r>
      <w:r w:rsidR="00FF0299" w:rsidRPr="00E67E82">
        <w:rPr>
          <w:rStyle w:val="Strong"/>
          <w:b w:val="0"/>
          <w:noProof/>
          <w:sz w:val="20"/>
          <w:szCs w:val="20"/>
        </w:rPr>
        <w:t xml:space="preserve">(Balakrishnan </w:t>
      </w:r>
      <w:r w:rsidR="003F4A87">
        <w:rPr>
          <w:rStyle w:val="Strong"/>
          <w:b w:val="0"/>
          <w:i/>
          <w:noProof/>
          <w:sz w:val="20"/>
          <w:szCs w:val="20"/>
        </w:rPr>
        <w:t>i sur.,</w:t>
      </w:r>
      <w:r w:rsidR="00FF0299" w:rsidRPr="00E67E82">
        <w:rPr>
          <w:rStyle w:val="Strong"/>
          <w:b w:val="0"/>
          <w:noProof/>
          <w:sz w:val="20"/>
          <w:szCs w:val="20"/>
        </w:rPr>
        <w:t xml:space="preserve"> 2017)</w:t>
      </w:r>
      <w:r w:rsidR="00FF0299" w:rsidRPr="00E67E82">
        <w:rPr>
          <w:rStyle w:val="Strong"/>
          <w:b w:val="0"/>
          <w:sz w:val="20"/>
          <w:szCs w:val="20"/>
        </w:rPr>
        <w:fldChar w:fldCharType="end"/>
      </w:r>
      <w:r w:rsidR="00FF0299" w:rsidRPr="00E67E82">
        <w:rPr>
          <w:rStyle w:val="Strong"/>
          <w:b w:val="0"/>
          <w:sz w:val="20"/>
          <w:szCs w:val="20"/>
        </w:rPr>
        <w:t>, difuzni karcinomi želuca i dalje su aktualan problem jer</w:t>
      </w:r>
      <w:r w:rsidR="00E623F1" w:rsidRPr="00E67E82">
        <w:rPr>
          <w:rStyle w:val="Strong"/>
          <w:b w:val="0"/>
          <w:sz w:val="20"/>
          <w:szCs w:val="20"/>
        </w:rPr>
        <w:t xml:space="preserve"> se javljaju u mlađim dobnim skupinama</w:t>
      </w:r>
      <w:r w:rsidR="00FF0299" w:rsidRPr="00E67E82">
        <w:rPr>
          <w:rStyle w:val="Strong"/>
          <w:b w:val="0"/>
          <w:sz w:val="20"/>
          <w:szCs w:val="20"/>
        </w:rPr>
        <w:t>, dijagnosticiraju se u uznapredovalom stadiju i ima</w:t>
      </w:r>
      <w:r w:rsidR="00E623F1" w:rsidRPr="00E67E82">
        <w:rPr>
          <w:rStyle w:val="Strong"/>
          <w:b w:val="0"/>
          <w:sz w:val="20"/>
          <w:szCs w:val="20"/>
        </w:rPr>
        <w:t>ju lošiju prognozu.</w:t>
      </w:r>
    </w:p>
    <w:p w:rsidR="00FF0299" w:rsidRPr="00E67E82" w:rsidRDefault="00FF0299" w:rsidP="00E67E82">
      <w:pPr>
        <w:spacing w:line="360" w:lineRule="auto"/>
        <w:jc w:val="both"/>
        <w:rPr>
          <w:sz w:val="20"/>
          <w:szCs w:val="20"/>
        </w:rPr>
      </w:pPr>
    </w:p>
    <w:p w:rsidR="0073138B" w:rsidRPr="00E67E82" w:rsidRDefault="0073138B" w:rsidP="00E67E82">
      <w:pPr>
        <w:spacing w:line="360" w:lineRule="auto"/>
        <w:jc w:val="both"/>
        <w:rPr>
          <w:rStyle w:val="Strong"/>
          <w:rFonts w:cs="Times New Roman"/>
          <w:b w:val="0"/>
          <w:sz w:val="20"/>
          <w:szCs w:val="20"/>
        </w:rPr>
      </w:pPr>
      <w:r w:rsidRPr="00E67E82">
        <w:rPr>
          <w:rStyle w:val="Strong"/>
          <w:rFonts w:cs="Times New Roman"/>
          <w:b w:val="0"/>
          <w:sz w:val="20"/>
          <w:szCs w:val="20"/>
        </w:rPr>
        <w:br w:type="page"/>
      </w:r>
    </w:p>
    <w:p w:rsidR="00361110" w:rsidRPr="00C47C5C" w:rsidRDefault="00C57D02" w:rsidP="00C47C5C">
      <w:pPr>
        <w:pStyle w:val="Heading1"/>
      </w:pPr>
      <w:r>
        <w:rPr>
          <w:rStyle w:val="Strong"/>
        </w:rPr>
        <w:lastRenderedPageBreak/>
        <w:br/>
      </w:r>
      <w:bookmarkStart w:id="3" w:name="_Toc7695562"/>
      <w:r w:rsidR="00915A71">
        <w:t>2. HIPOTEZA</w:t>
      </w:r>
      <w:bookmarkEnd w:id="3"/>
    </w:p>
    <w:p w:rsidR="0096585E" w:rsidRDefault="0096585E" w:rsidP="0096585E"/>
    <w:p w:rsidR="0096585E" w:rsidRPr="00C47C5C" w:rsidRDefault="00A34888" w:rsidP="0096585E">
      <w:pPr>
        <w:rPr>
          <w:sz w:val="20"/>
          <w:szCs w:val="20"/>
        </w:rPr>
      </w:pPr>
      <w:r>
        <w:rPr>
          <w:sz w:val="20"/>
          <w:szCs w:val="20"/>
        </w:rPr>
        <w:t>Izraženost proteina pentraxin3</w:t>
      </w:r>
      <w:r w:rsidR="007550C4" w:rsidRPr="00C47C5C">
        <w:rPr>
          <w:sz w:val="20"/>
          <w:szCs w:val="20"/>
        </w:rPr>
        <w:t xml:space="preserve"> veća je u </w:t>
      </w:r>
      <w:r>
        <w:rPr>
          <w:sz w:val="20"/>
          <w:szCs w:val="20"/>
        </w:rPr>
        <w:t>uzorcima difuznih</w:t>
      </w:r>
      <w:r w:rsidR="00B8442B">
        <w:rPr>
          <w:sz w:val="20"/>
          <w:szCs w:val="20"/>
        </w:rPr>
        <w:t xml:space="preserve"> karcinoma</w:t>
      </w:r>
      <w:r w:rsidR="007550C4" w:rsidRPr="00C47C5C">
        <w:rPr>
          <w:sz w:val="20"/>
          <w:szCs w:val="20"/>
        </w:rPr>
        <w:t xml:space="preserve"> želuca u odnosu na kontrolno netumorsko tkivo.</w:t>
      </w:r>
    </w:p>
    <w:p w:rsidR="00915A71" w:rsidRDefault="00F0483A" w:rsidP="00915A71">
      <w:pPr>
        <w:pStyle w:val="Heading1"/>
      </w:pPr>
      <w:bookmarkStart w:id="4" w:name="_Toc7695563"/>
      <w:r>
        <w:t xml:space="preserve">3. </w:t>
      </w:r>
      <w:r w:rsidR="00675412">
        <w:t xml:space="preserve">OPĆI </w:t>
      </w:r>
      <w:r w:rsidR="00915A71">
        <w:t>CILJEVI RADA</w:t>
      </w:r>
      <w:bookmarkEnd w:id="4"/>
    </w:p>
    <w:p w:rsidR="00F0483A" w:rsidRDefault="00F0483A" w:rsidP="00F0483A"/>
    <w:p w:rsidR="00F0483A" w:rsidRPr="00C47C5C" w:rsidRDefault="00F46EEB" w:rsidP="00FC5A3E">
      <w:pPr>
        <w:spacing w:line="360" w:lineRule="auto"/>
        <w:jc w:val="both"/>
        <w:rPr>
          <w:sz w:val="20"/>
          <w:szCs w:val="20"/>
        </w:rPr>
      </w:pPr>
      <w:r w:rsidRPr="00C47C5C">
        <w:rPr>
          <w:sz w:val="20"/>
          <w:szCs w:val="20"/>
        </w:rPr>
        <w:t>Cilj ovog rada</w:t>
      </w:r>
      <w:r w:rsidR="00675412" w:rsidRPr="00C47C5C">
        <w:rPr>
          <w:sz w:val="20"/>
          <w:szCs w:val="20"/>
        </w:rPr>
        <w:t xml:space="preserve">  je usporediti imunohistokemijsku ekspresiju  PTX3 proteina i ekspresiju </w:t>
      </w:r>
      <w:r w:rsidR="00DE06A1" w:rsidRPr="00C47C5C">
        <w:rPr>
          <w:sz w:val="20"/>
          <w:szCs w:val="20"/>
        </w:rPr>
        <w:t xml:space="preserve">PTX3 </w:t>
      </w:r>
      <w:r w:rsidR="00675412" w:rsidRPr="00C47C5C">
        <w:rPr>
          <w:sz w:val="20"/>
          <w:szCs w:val="20"/>
        </w:rPr>
        <w:t>na razini mRNA u difuznom karcinomu želuca i kontrolnom netumorskom tkivu želuca.</w:t>
      </w:r>
      <w:r w:rsidR="00DE06A1" w:rsidRPr="00C47C5C">
        <w:rPr>
          <w:sz w:val="20"/>
          <w:szCs w:val="20"/>
        </w:rPr>
        <w:t xml:space="preserve"> </w:t>
      </w:r>
    </w:p>
    <w:p w:rsidR="007550C4" w:rsidRPr="00C47C5C" w:rsidRDefault="007550C4">
      <w:pPr>
        <w:rPr>
          <w:rFonts w:cs="Times New Roman"/>
          <w:b/>
          <w:bCs/>
          <w:sz w:val="20"/>
          <w:szCs w:val="20"/>
        </w:rPr>
      </w:pPr>
    </w:p>
    <w:p w:rsidR="003C662F" w:rsidRDefault="003C662F">
      <w:pPr>
        <w:rPr>
          <w:rFonts w:cs="Times New Roman"/>
          <w:b/>
          <w:bCs/>
          <w:szCs w:val="24"/>
        </w:rPr>
      </w:pPr>
      <w:r>
        <w:rPr>
          <w:rFonts w:cs="Times New Roman"/>
          <w:b/>
          <w:bCs/>
          <w:szCs w:val="24"/>
        </w:rPr>
        <w:br w:type="page"/>
      </w:r>
    </w:p>
    <w:p w:rsidR="00EB02A7" w:rsidRDefault="00EB02A7" w:rsidP="00EB02A7">
      <w:pPr>
        <w:pStyle w:val="Heading1"/>
      </w:pPr>
      <w:bookmarkStart w:id="5" w:name="_Toc7695564"/>
      <w:r>
        <w:lastRenderedPageBreak/>
        <w:t xml:space="preserve">4. </w:t>
      </w:r>
      <w:r w:rsidR="00C86AE8" w:rsidRPr="00EB02A7">
        <w:t>I</w:t>
      </w:r>
      <w:r w:rsidR="009E1963">
        <w:t>SPITANICI I METODE</w:t>
      </w:r>
      <w:bookmarkEnd w:id="5"/>
    </w:p>
    <w:p w:rsidR="00EB02A7" w:rsidRPr="00EB02A7" w:rsidRDefault="00C86AE8" w:rsidP="00B74D12">
      <w:pPr>
        <w:pStyle w:val="Heading2"/>
        <w:spacing w:after="300"/>
        <w:ind w:left="284"/>
        <w:rPr>
          <w:szCs w:val="28"/>
        </w:rPr>
      </w:pPr>
      <w:bookmarkStart w:id="6" w:name="_Toc7695565"/>
      <w:r w:rsidRPr="00EB02A7">
        <w:t>4.1. Uzorci tkiva</w:t>
      </w:r>
      <w:bookmarkEnd w:id="6"/>
    </w:p>
    <w:p w:rsidR="00EB02A7" w:rsidRPr="00C47C5C" w:rsidRDefault="00EB02A7" w:rsidP="00162375">
      <w:pPr>
        <w:spacing w:line="360" w:lineRule="auto"/>
        <w:rPr>
          <w:rFonts w:cs="Times New Roman"/>
          <w:sz w:val="20"/>
          <w:szCs w:val="20"/>
        </w:rPr>
      </w:pPr>
      <w:r w:rsidRPr="00C47C5C">
        <w:rPr>
          <w:rFonts w:cs="Times New Roman"/>
          <w:sz w:val="20"/>
          <w:szCs w:val="20"/>
        </w:rPr>
        <w:t>U istraživanju su korišteni perioperativno dobiveni uzorci tkiva s patohistološkom dijagnozom difuznog</w:t>
      </w:r>
      <w:r w:rsidR="00FE565C" w:rsidRPr="00C47C5C">
        <w:rPr>
          <w:rFonts w:cs="Times New Roman"/>
          <w:sz w:val="20"/>
          <w:szCs w:val="20"/>
        </w:rPr>
        <w:t xml:space="preserve"> karcinoma želuca i uzorci sluznice</w:t>
      </w:r>
      <w:r w:rsidRPr="00C47C5C">
        <w:rPr>
          <w:rFonts w:cs="Times New Roman"/>
          <w:sz w:val="20"/>
          <w:szCs w:val="20"/>
        </w:rPr>
        <w:t xml:space="preserve"> želuca dobiveni endoskopskim biopsijama, a patohistološk</w:t>
      </w:r>
      <w:r w:rsidR="00B74D12" w:rsidRPr="00C47C5C">
        <w:rPr>
          <w:rFonts w:cs="Times New Roman"/>
          <w:sz w:val="20"/>
          <w:szCs w:val="20"/>
        </w:rPr>
        <w:t xml:space="preserve">i bez elemenata tumorskog rasta </w:t>
      </w:r>
      <w:r w:rsidRPr="00C47C5C">
        <w:rPr>
          <w:rFonts w:cs="Times New Roman"/>
          <w:sz w:val="20"/>
          <w:szCs w:val="20"/>
        </w:rPr>
        <w:t>(kontrolno netumorsko tkivo).   Uzorci su prikupljeni iz arhive Kliničkog zavoda za patologiju i citologiju Kliničkog bolničkog centra Zagreb. Uzorci tkiva uzeti su prije započinjanja onkološkog liječenja. Tijekom uzimanja uzoraka zabilježeni su demografski podaci (spol i dob) te klinički i patološki parame</w:t>
      </w:r>
      <w:r w:rsidR="00FC5A3E">
        <w:rPr>
          <w:rFonts w:cs="Times New Roman"/>
          <w:sz w:val="20"/>
          <w:szCs w:val="20"/>
        </w:rPr>
        <w:t xml:space="preserve">tri (lokalizacija </w:t>
      </w:r>
      <w:r w:rsidR="00542AB2" w:rsidRPr="00C47C5C">
        <w:rPr>
          <w:rFonts w:cs="Times New Roman"/>
          <w:sz w:val="20"/>
          <w:szCs w:val="20"/>
        </w:rPr>
        <w:t>uzetog uzorka te TNM stadij bolesti</w:t>
      </w:r>
      <w:r w:rsidR="00162375">
        <w:rPr>
          <w:rFonts w:cs="Times New Roman"/>
          <w:sz w:val="20"/>
          <w:szCs w:val="20"/>
        </w:rPr>
        <w:t>).</w:t>
      </w:r>
      <w:r w:rsidR="00162375">
        <w:rPr>
          <w:rFonts w:cs="Times New Roman"/>
          <w:sz w:val="20"/>
          <w:szCs w:val="20"/>
        </w:rPr>
        <w:br/>
      </w:r>
    </w:p>
    <w:p w:rsidR="00EB02A7" w:rsidRPr="00EB02A7" w:rsidRDefault="00E454B0" w:rsidP="00B74D12">
      <w:pPr>
        <w:pStyle w:val="Heading2"/>
        <w:spacing w:after="300"/>
        <w:ind w:left="284"/>
      </w:pPr>
      <w:bookmarkStart w:id="7" w:name="_Toc7695566"/>
      <w:r>
        <w:t>4.2. Imunohistokemij</w:t>
      </w:r>
      <w:r w:rsidR="005E29E2">
        <w:t>ska analiza</w:t>
      </w:r>
      <w:bookmarkEnd w:id="7"/>
    </w:p>
    <w:p w:rsidR="00EB02A7" w:rsidRPr="00C47C5C" w:rsidRDefault="00EB02A7" w:rsidP="001F2EE8">
      <w:pPr>
        <w:spacing w:line="360" w:lineRule="auto"/>
        <w:jc w:val="both"/>
        <w:rPr>
          <w:rFonts w:cs="Times New Roman"/>
          <w:sz w:val="20"/>
          <w:szCs w:val="20"/>
        </w:rPr>
      </w:pPr>
      <w:r w:rsidRPr="00C47C5C">
        <w:rPr>
          <w:rFonts w:cs="Times New Roman"/>
          <w:sz w:val="20"/>
          <w:szCs w:val="20"/>
        </w:rPr>
        <w:t>Imunohistokemijska analiza korištena je kako bi se ustanovile</w:t>
      </w:r>
      <w:r w:rsidR="00162375">
        <w:rPr>
          <w:rFonts w:cs="Times New Roman"/>
          <w:sz w:val="20"/>
          <w:szCs w:val="20"/>
        </w:rPr>
        <w:t xml:space="preserve"> razine ekspresije i stanična </w:t>
      </w:r>
      <w:r w:rsidRPr="00C47C5C">
        <w:rPr>
          <w:rFonts w:cs="Times New Roman"/>
          <w:sz w:val="20"/>
          <w:szCs w:val="20"/>
        </w:rPr>
        <w:t>lokalizacija proteina PTX3.</w:t>
      </w:r>
    </w:p>
    <w:p w:rsidR="00EB02A7" w:rsidRPr="00EB02A7" w:rsidRDefault="00EB02A7" w:rsidP="00B74D12">
      <w:pPr>
        <w:pStyle w:val="Heading3"/>
        <w:spacing w:after="300"/>
        <w:ind w:left="340"/>
      </w:pPr>
      <w:r w:rsidRPr="00EB02A7">
        <w:t xml:space="preserve">      </w:t>
      </w:r>
      <w:bookmarkStart w:id="8" w:name="_Toc7695567"/>
      <w:r w:rsidRPr="00EB02A7">
        <w:t>4.2.1. Priprema uzoraka</w:t>
      </w:r>
      <w:bookmarkEnd w:id="8"/>
    </w:p>
    <w:p w:rsidR="00692926" w:rsidRPr="00C47C5C" w:rsidRDefault="00EB02A7" w:rsidP="001F2EE8">
      <w:pPr>
        <w:spacing w:line="360" w:lineRule="auto"/>
        <w:jc w:val="both"/>
        <w:rPr>
          <w:rFonts w:cs="Times New Roman"/>
          <w:sz w:val="20"/>
          <w:szCs w:val="20"/>
        </w:rPr>
      </w:pPr>
      <w:r w:rsidRPr="00C47C5C">
        <w:rPr>
          <w:rFonts w:cs="Times New Roman"/>
          <w:sz w:val="20"/>
          <w:szCs w:val="20"/>
        </w:rPr>
        <w:t>Od uzoraka</w:t>
      </w:r>
      <w:r w:rsidR="00B74D12" w:rsidRPr="00C47C5C">
        <w:rPr>
          <w:rFonts w:cs="Times New Roman"/>
          <w:sz w:val="20"/>
          <w:szCs w:val="20"/>
        </w:rPr>
        <w:t xml:space="preserve"> fiksiranih u formalinu i</w:t>
      </w:r>
      <w:r w:rsidRPr="00C47C5C">
        <w:rPr>
          <w:rFonts w:cs="Times New Roman"/>
          <w:sz w:val="20"/>
          <w:szCs w:val="20"/>
        </w:rPr>
        <w:t xml:space="preserve"> pohranjenih u parafinskom bloku dobiveni su rezovi debljine 4 μm koji su postavljeni na silanizirana predmetna stakla (DakoCytomation, Denmark).</w:t>
      </w:r>
      <w:r w:rsidR="00EC13FD" w:rsidRPr="00C47C5C">
        <w:rPr>
          <w:rFonts w:cs="Times New Roman"/>
          <w:sz w:val="20"/>
          <w:szCs w:val="20"/>
        </w:rPr>
        <w:t xml:space="preserve"> Prije imunohistokemijske analize</w:t>
      </w:r>
      <w:r w:rsidRPr="00C47C5C">
        <w:rPr>
          <w:rFonts w:cs="Times New Roman"/>
          <w:sz w:val="20"/>
          <w:szCs w:val="20"/>
        </w:rPr>
        <w:t xml:space="preserve"> potrebno je deparafini</w:t>
      </w:r>
      <w:r w:rsidR="002346A6" w:rsidRPr="00C47C5C">
        <w:rPr>
          <w:rFonts w:cs="Times New Roman"/>
          <w:sz w:val="20"/>
          <w:szCs w:val="20"/>
        </w:rPr>
        <w:t>zi</w:t>
      </w:r>
      <w:r w:rsidRPr="00C47C5C">
        <w:rPr>
          <w:rFonts w:cs="Times New Roman"/>
          <w:sz w:val="20"/>
          <w:szCs w:val="20"/>
        </w:rPr>
        <w:t>rati i rehidrirati uzorke. Stakla s uzorcima ostavljena su u termostatu preko noći na temperaturi 58 – 60°C. Nakon vađenja iz termostata stakla su ostavljena 10-ak minuta na sobnoj temperaturi kako bi se ohladila. Zatim su uzorci provedeni kroz red</w:t>
      </w:r>
      <w:r w:rsidR="005E29E2" w:rsidRPr="00C47C5C">
        <w:rPr>
          <w:rFonts w:cs="Times New Roman"/>
          <w:color w:val="FF0000"/>
          <w:sz w:val="20"/>
          <w:szCs w:val="20"/>
        </w:rPr>
        <w:t xml:space="preserve"> </w:t>
      </w:r>
      <w:r w:rsidR="005E29E2" w:rsidRPr="00C47C5C">
        <w:rPr>
          <w:rFonts w:cs="Times New Roman"/>
          <w:sz w:val="20"/>
          <w:szCs w:val="20"/>
        </w:rPr>
        <w:t>ksilena</w:t>
      </w:r>
      <w:r w:rsidRPr="00C47C5C">
        <w:rPr>
          <w:rFonts w:cs="Times New Roman"/>
          <w:sz w:val="20"/>
          <w:szCs w:val="20"/>
        </w:rPr>
        <w:t xml:space="preserve"> u trajanju 2x10 minuta te silazni red alkohola: 100% EtOH 2x5 minuta, 96% EtOH 2x5 minuta i 70% EtOH 5 minuta. Uzorci su isprani destiliranom vodom u trajanju od 5 minuta. Radi demaskiranja epitopa uzorci su zagrijavani u </w:t>
      </w:r>
      <w:r w:rsidR="00EC13FD" w:rsidRPr="00C47C5C">
        <w:rPr>
          <w:rFonts w:cs="Times New Roman"/>
          <w:sz w:val="20"/>
          <w:szCs w:val="20"/>
        </w:rPr>
        <w:t>citratnom puferu</w:t>
      </w:r>
      <w:r w:rsidR="00300061" w:rsidRPr="00C47C5C">
        <w:rPr>
          <w:rFonts w:cs="Times New Roman"/>
          <w:sz w:val="20"/>
          <w:szCs w:val="20"/>
        </w:rPr>
        <w:t>, pH 6,</w:t>
      </w:r>
      <w:r w:rsidR="00EC13FD" w:rsidRPr="00C47C5C">
        <w:rPr>
          <w:rFonts w:cs="Times New Roman"/>
          <w:sz w:val="20"/>
          <w:szCs w:val="20"/>
        </w:rPr>
        <w:t xml:space="preserve"> </w:t>
      </w:r>
      <w:r w:rsidRPr="00C47C5C">
        <w:rPr>
          <w:rFonts w:cs="Times New Roman"/>
          <w:sz w:val="20"/>
          <w:szCs w:val="20"/>
        </w:rPr>
        <w:t>u vodenoj kupelji 20 minuta. Nakon kuhanja uzorci su ostavljeni 30 minuta na sobnoj temperaturi kako bi se postupno ohladili. Ohlađeni uzorci isprani su TBS puferom u trajanju 2x5 minuta</w:t>
      </w:r>
      <w:r w:rsidR="00692926" w:rsidRPr="00C47C5C">
        <w:rPr>
          <w:rFonts w:cs="Times New Roman"/>
          <w:sz w:val="20"/>
          <w:szCs w:val="20"/>
        </w:rPr>
        <w:t>.</w:t>
      </w:r>
    </w:p>
    <w:p w:rsidR="00EB02A7" w:rsidRPr="00C47C5C" w:rsidRDefault="00EC13FD" w:rsidP="00C47C5C">
      <w:pPr>
        <w:pStyle w:val="Heading3"/>
        <w:spacing w:after="300"/>
        <w:ind w:left="340"/>
        <w:rPr>
          <w:rFonts w:cs="Times New Roman"/>
          <w:szCs w:val="24"/>
        </w:rPr>
      </w:pPr>
      <w:bookmarkStart w:id="9" w:name="_Toc7695568"/>
      <w:r>
        <w:t xml:space="preserve">4.2.2. </w:t>
      </w:r>
      <w:r w:rsidR="00224F74">
        <w:t>Postupak i</w:t>
      </w:r>
      <w:r w:rsidR="00E454B0">
        <w:t>munohistokemijsko</w:t>
      </w:r>
      <w:r w:rsidR="00224F74">
        <w:t>g bojenja</w:t>
      </w:r>
      <w:bookmarkEnd w:id="9"/>
    </w:p>
    <w:p w:rsidR="003F4DDB" w:rsidRPr="00C47C5C" w:rsidRDefault="00692926" w:rsidP="00FC5A3E">
      <w:pPr>
        <w:spacing w:line="360" w:lineRule="auto"/>
        <w:jc w:val="both"/>
        <w:rPr>
          <w:rFonts w:cs="Times New Roman"/>
          <w:sz w:val="20"/>
          <w:szCs w:val="20"/>
        </w:rPr>
      </w:pPr>
      <w:r w:rsidRPr="00C47C5C">
        <w:rPr>
          <w:rFonts w:cs="Times New Roman"/>
          <w:sz w:val="20"/>
          <w:szCs w:val="20"/>
        </w:rPr>
        <w:t xml:space="preserve">Kako bi se blokiralo djelovanje endogene peroksidaze, uzorci su tretirani 3%-tnom otopinom vodikova peroksida u mraku tijekom 20 minuta. Zatim su uzorci isprani TBS puferom u trajanju 2x5 minuta. </w:t>
      </w:r>
      <w:r w:rsidR="00EB02A7" w:rsidRPr="00C47C5C">
        <w:rPr>
          <w:rFonts w:cs="Times New Roman"/>
          <w:sz w:val="20"/>
          <w:szCs w:val="20"/>
        </w:rPr>
        <w:t>Nakon opisane pripreme uzorci su tretirani optimalno razrijeđenim primarnim protutijelom (afinitetno pročišćeni zečji IgG pro</w:t>
      </w:r>
      <w:r w:rsidR="00EC13FD" w:rsidRPr="00C47C5C">
        <w:rPr>
          <w:rFonts w:cs="Times New Roman"/>
          <w:sz w:val="20"/>
          <w:szCs w:val="20"/>
        </w:rPr>
        <w:t>tiv humanog PTX3 proteina, razrjeđenje</w:t>
      </w:r>
      <w:r w:rsidR="00EB02A7" w:rsidRPr="00C47C5C">
        <w:rPr>
          <w:rFonts w:cs="Times New Roman"/>
          <w:sz w:val="20"/>
          <w:szCs w:val="20"/>
        </w:rPr>
        <w:t xml:space="preserve"> 1:350) preko noći u hladnjaku na temperaturi od 4°C. Nakon inkubacije uzorci su isprani TBS puferom u trajanju 2x5 minuta. Za detekciju primarnog protutijela korišten je Dako REAL</w:t>
      </w:r>
      <w:r w:rsidR="00A97400" w:rsidRPr="00C47C5C">
        <w:rPr>
          <w:rFonts w:cs="Times New Roman"/>
          <w:sz w:val="20"/>
          <w:szCs w:val="20"/>
        </w:rPr>
        <w:t>™</w:t>
      </w:r>
      <w:r w:rsidR="00EB02A7" w:rsidRPr="00C47C5C">
        <w:rPr>
          <w:rFonts w:cs="Times New Roman"/>
          <w:sz w:val="20"/>
          <w:szCs w:val="20"/>
        </w:rPr>
        <w:t xml:space="preserve"> En</w:t>
      </w:r>
      <w:r w:rsidR="001A09B8" w:rsidRPr="00C47C5C">
        <w:rPr>
          <w:rFonts w:cs="Times New Roman"/>
          <w:sz w:val="20"/>
          <w:szCs w:val="20"/>
        </w:rPr>
        <w:t>Vision</w:t>
      </w:r>
      <w:r w:rsidR="00A97400" w:rsidRPr="00C47C5C">
        <w:rPr>
          <w:rFonts w:cs="Times New Roman"/>
          <w:sz w:val="20"/>
          <w:szCs w:val="20"/>
        </w:rPr>
        <w:t>™</w:t>
      </w:r>
      <w:r w:rsidR="001A09B8" w:rsidRPr="00C47C5C">
        <w:rPr>
          <w:rFonts w:cs="Times New Roman"/>
          <w:sz w:val="20"/>
          <w:szCs w:val="20"/>
        </w:rPr>
        <w:t xml:space="preserve"> Detection S</w:t>
      </w:r>
      <w:r w:rsidR="001A0F25" w:rsidRPr="00C47C5C">
        <w:rPr>
          <w:rFonts w:cs="Times New Roman"/>
          <w:sz w:val="20"/>
          <w:szCs w:val="20"/>
        </w:rPr>
        <w:t xml:space="preserve">ystem </w:t>
      </w:r>
      <w:r w:rsidR="00EB02A7" w:rsidRPr="00C47C5C">
        <w:rPr>
          <w:rFonts w:cs="Times New Roman"/>
          <w:sz w:val="20"/>
          <w:szCs w:val="20"/>
        </w:rPr>
        <w:t>(DakoCytomation, Carpinteria, USA) uz uporabu  sekundarnog kozjeg  protutijela n</w:t>
      </w:r>
      <w:r w:rsidR="00AD6D8A" w:rsidRPr="00C47C5C">
        <w:rPr>
          <w:rFonts w:cs="Times New Roman"/>
          <w:sz w:val="20"/>
          <w:szCs w:val="20"/>
        </w:rPr>
        <w:t xml:space="preserve">a zečji IgG obilježenog s HRP </w:t>
      </w:r>
      <w:r w:rsidR="00EB02A7" w:rsidRPr="00C47C5C">
        <w:rPr>
          <w:rFonts w:cs="Times New Roman"/>
          <w:sz w:val="20"/>
          <w:szCs w:val="20"/>
        </w:rPr>
        <w:t>(engl.</w:t>
      </w:r>
      <w:r w:rsidR="009928DE" w:rsidRPr="00C47C5C">
        <w:rPr>
          <w:rFonts w:cs="Times New Roman"/>
          <w:sz w:val="20"/>
          <w:szCs w:val="20"/>
        </w:rPr>
        <w:t xml:space="preserve"> horse</w:t>
      </w:r>
      <w:r w:rsidR="00EB02A7" w:rsidRPr="00C47C5C">
        <w:rPr>
          <w:rFonts w:cs="Times New Roman"/>
          <w:sz w:val="20"/>
          <w:szCs w:val="20"/>
        </w:rPr>
        <w:t>radish</w:t>
      </w:r>
      <w:r w:rsidR="00EB02A7" w:rsidRPr="00EB02A7">
        <w:rPr>
          <w:rFonts w:cs="Times New Roman"/>
          <w:szCs w:val="24"/>
        </w:rPr>
        <w:t xml:space="preserve"> </w:t>
      </w:r>
      <w:r w:rsidR="00EB02A7" w:rsidRPr="00C47C5C">
        <w:rPr>
          <w:rFonts w:cs="Times New Roman"/>
          <w:sz w:val="20"/>
          <w:szCs w:val="20"/>
        </w:rPr>
        <w:t>peroxidase). Nakon inkubacije u trajanju od 30 minuta sekundarno protutijelo isprano je TBS puferom u trajanju 2x5 minuta. Za vizualizaciju mjesta imunološke reakcije korišt</w:t>
      </w:r>
      <w:r w:rsidR="001A09B8" w:rsidRPr="00C47C5C">
        <w:rPr>
          <w:rFonts w:cs="Times New Roman"/>
          <w:sz w:val="20"/>
          <w:szCs w:val="20"/>
        </w:rPr>
        <w:t>ena je otopina supstrat-kromogen</w:t>
      </w:r>
      <w:r w:rsidR="00EB02A7" w:rsidRPr="00C47C5C">
        <w:rPr>
          <w:rFonts w:cs="Times New Roman"/>
          <w:sz w:val="20"/>
          <w:szCs w:val="20"/>
        </w:rPr>
        <w:t xml:space="preserve"> u kojoj</w:t>
      </w:r>
      <w:r w:rsidR="00EB02A7" w:rsidRPr="00EB02A7">
        <w:rPr>
          <w:rFonts w:cs="Times New Roman"/>
          <w:szCs w:val="24"/>
        </w:rPr>
        <w:t xml:space="preserve"> </w:t>
      </w:r>
      <w:r w:rsidR="00EB02A7" w:rsidRPr="00C47C5C">
        <w:rPr>
          <w:rFonts w:cs="Times New Roman"/>
          <w:sz w:val="20"/>
          <w:szCs w:val="20"/>
        </w:rPr>
        <w:t>funkciju supstrata imaju koncentrirani TrisHCl-pufer i 0.8%-tna otopina vodikova peroksida, a kao kromogen korišten je 3,3'-diaminobenzidin tetrahidroklorid (DAB). Primjena kompleksa supstrat-kromoge</w:t>
      </w:r>
      <w:r w:rsidR="00FE565C" w:rsidRPr="00C47C5C">
        <w:rPr>
          <w:rFonts w:cs="Times New Roman"/>
          <w:sz w:val="20"/>
          <w:szCs w:val="20"/>
        </w:rPr>
        <w:t>n rezultira nastajanjem netopi</w:t>
      </w:r>
      <w:r w:rsidR="00EB02A7" w:rsidRPr="00C47C5C">
        <w:rPr>
          <w:rFonts w:cs="Times New Roman"/>
          <w:sz w:val="20"/>
          <w:szCs w:val="20"/>
        </w:rPr>
        <w:t>vog sm</w:t>
      </w:r>
      <w:r w:rsidR="001A09B8" w:rsidRPr="00C47C5C">
        <w:rPr>
          <w:rFonts w:cs="Times New Roman"/>
          <w:sz w:val="20"/>
          <w:szCs w:val="20"/>
        </w:rPr>
        <w:t xml:space="preserve">eđeg precipitata na </w:t>
      </w:r>
      <w:r w:rsidR="00EB02A7" w:rsidRPr="00C47C5C">
        <w:rPr>
          <w:rFonts w:cs="Times New Roman"/>
          <w:sz w:val="20"/>
          <w:szCs w:val="20"/>
        </w:rPr>
        <w:t>mjestu</w:t>
      </w:r>
      <w:r w:rsidR="001A09B8" w:rsidRPr="00C47C5C">
        <w:rPr>
          <w:rFonts w:cs="Times New Roman"/>
          <w:sz w:val="20"/>
          <w:szCs w:val="20"/>
        </w:rPr>
        <w:t xml:space="preserve"> vezanja primarnog protutijela s antigenom</w:t>
      </w:r>
      <w:r w:rsidR="00EB02A7" w:rsidRPr="00C47C5C">
        <w:rPr>
          <w:rFonts w:cs="Times New Roman"/>
          <w:sz w:val="20"/>
          <w:szCs w:val="20"/>
        </w:rPr>
        <w:t xml:space="preserve">. Nakon inkubacije u trajanju od 10 minuta </w:t>
      </w:r>
      <w:r w:rsidR="00EB02A7" w:rsidRPr="00C47C5C">
        <w:rPr>
          <w:rFonts w:cs="Times New Roman"/>
          <w:sz w:val="20"/>
          <w:szCs w:val="20"/>
        </w:rPr>
        <w:lastRenderedPageBreak/>
        <w:t xml:space="preserve">uzorci su isprani vodovodnom, a potom i destiliranom vodom. Uzorci su kontrastirani hematoksilinom 30 sekundi, a potom isprani vodovodnom i destiliranom vodom. Na kraju obrade uzorke je potrebno dehidrirati provođenjem kroz uzlazni red alkohola: nekoliko urona u 70% EtOH, nekoliko urona u 96% EtOH, 1 minutu u 100% EtOH I i 2 minute u 100% EtOH II. Bistrenje preparata provodi se kroz red </w:t>
      </w:r>
      <w:r w:rsidR="005E29E2" w:rsidRPr="00C47C5C">
        <w:rPr>
          <w:rFonts w:cs="Times New Roman"/>
          <w:sz w:val="20"/>
          <w:szCs w:val="20"/>
        </w:rPr>
        <w:t xml:space="preserve">ksilena </w:t>
      </w:r>
      <w:r w:rsidR="00EB02A7" w:rsidRPr="00C47C5C">
        <w:rPr>
          <w:rFonts w:cs="Times New Roman"/>
          <w:sz w:val="20"/>
          <w:szCs w:val="20"/>
        </w:rPr>
        <w:t>u trajanju 2x10 minuta. Obrada završava pokrivanjem pokrovnim sta</w:t>
      </w:r>
      <w:r w:rsidR="00547319" w:rsidRPr="00C47C5C">
        <w:rPr>
          <w:rFonts w:cs="Times New Roman"/>
          <w:sz w:val="20"/>
          <w:szCs w:val="20"/>
        </w:rPr>
        <w:t>kalcem i medijem za pokrivanje.</w:t>
      </w:r>
      <w:r w:rsidR="00547319" w:rsidRPr="00C47C5C">
        <w:rPr>
          <w:sz w:val="20"/>
          <w:szCs w:val="20"/>
        </w:rPr>
        <w:t xml:space="preserve"> </w:t>
      </w:r>
      <w:r w:rsidR="00547319" w:rsidRPr="00C47C5C">
        <w:rPr>
          <w:rFonts w:cs="Times New Roman"/>
          <w:sz w:val="20"/>
          <w:szCs w:val="20"/>
        </w:rPr>
        <w:t>Kao negativna kontrola korišteni su uzorci podvrgnuti istom postupku, ali je umjesto primarnog protutijela korišten TBS.</w:t>
      </w:r>
    </w:p>
    <w:p w:rsidR="00EB02A7" w:rsidRPr="00EB02A7" w:rsidRDefault="004E43D4" w:rsidP="004E43D4">
      <w:pPr>
        <w:pStyle w:val="Heading3"/>
        <w:spacing w:after="300"/>
        <w:ind w:left="340"/>
      </w:pPr>
      <w:bookmarkStart w:id="10" w:name="_Toc7695569"/>
      <w:r>
        <w:t>4.2</w:t>
      </w:r>
      <w:r w:rsidR="00EB02A7" w:rsidRPr="00EB02A7">
        <w:t>.</w:t>
      </w:r>
      <w:r>
        <w:t xml:space="preserve">3. </w:t>
      </w:r>
      <w:r w:rsidR="00EB02A7" w:rsidRPr="00EB02A7">
        <w:t>Semikvantitativna analiza</w:t>
      </w:r>
      <w:r>
        <w:t xml:space="preserve"> imunohistokemijske ekspresije PTX3</w:t>
      </w:r>
      <w:r w:rsidR="0089329E">
        <w:t xml:space="preserve"> proteina</w:t>
      </w:r>
      <w:bookmarkEnd w:id="10"/>
    </w:p>
    <w:p w:rsidR="00EB02A7" w:rsidRPr="00C47C5C" w:rsidRDefault="004E43D4" w:rsidP="00FC5A3E">
      <w:pPr>
        <w:spacing w:line="360" w:lineRule="auto"/>
        <w:jc w:val="both"/>
        <w:rPr>
          <w:rFonts w:cs="Times New Roman"/>
          <w:sz w:val="20"/>
          <w:szCs w:val="20"/>
        </w:rPr>
      </w:pPr>
      <w:r w:rsidRPr="00C47C5C">
        <w:rPr>
          <w:rFonts w:cs="Times New Roman"/>
          <w:sz w:val="20"/>
          <w:szCs w:val="20"/>
        </w:rPr>
        <w:t xml:space="preserve">Ekspresija </w:t>
      </w:r>
      <w:r w:rsidR="0089329E" w:rsidRPr="00C47C5C">
        <w:rPr>
          <w:rFonts w:cs="Times New Roman"/>
          <w:sz w:val="20"/>
          <w:szCs w:val="20"/>
        </w:rPr>
        <w:t xml:space="preserve">proteina </w:t>
      </w:r>
      <w:r w:rsidRPr="00C47C5C">
        <w:rPr>
          <w:rFonts w:cs="Times New Roman"/>
          <w:sz w:val="20"/>
          <w:szCs w:val="20"/>
        </w:rPr>
        <w:t>utvrđena je svjetlosnim mikroskopom (</w:t>
      </w:r>
      <w:proofErr w:type="spellStart"/>
      <w:r w:rsidR="00604EDE">
        <w:rPr>
          <w:rFonts w:cs="Times New Roman"/>
          <w:sz w:val="20"/>
          <w:szCs w:val="20"/>
        </w:rPr>
        <w:t>Olympus</w:t>
      </w:r>
      <w:proofErr w:type="spellEnd"/>
      <w:r w:rsidR="00604EDE">
        <w:rPr>
          <w:rFonts w:cs="Times New Roman"/>
          <w:sz w:val="20"/>
          <w:szCs w:val="20"/>
        </w:rPr>
        <w:t xml:space="preserve"> CX21</w:t>
      </w:r>
      <w:r w:rsidRPr="00604EDE">
        <w:rPr>
          <w:rFonts w:cs="Times New Roman"/>
          <w:sz w:val="20"/>
          <w:szCs w:val="20"/>
        </w:rPr>
        <w:t xml:space="preserve">) </w:t>
      </w:r>
      <w:r w:rsidRPr="00C47C5C">
        <w:rPr>
          <w:rFonts w:cs="Times New Roman"/>
          <w:sz w:val="20"/>
          <w:szCs w:val="20"/>
        </w:rPr>
        <w:t xml:space="preserve">tehnikom </w:t>
      </w:r>
      <w:proofErr w:type="spellStart"/>
      <w:r w:rsidRPr="00C47C5C">
        <w:rPr>
          <w:rFonts w:cs="Times New Roman"/>
          <w:sz w:val="20"/>
          <w:szCs w:val="20"/>
        </w:rPr>
        <w:t>semikvantitativne</w:t>
      </w:r>
      <w:proofErr w:type="spellEnd"/>
      <w:r w:rsidRPr="00C47C5C">
        <w:rPr>
          <w:rFonts w:cs="Times New Roman"/>
          <w:sz w:val="20"/>
          <w:szCs w:val="20"/>
        </w:rPr>
        <w:t xml:space="preserve"> analize. </w:t>
      </w:r>
      <w:r w:rsidR="00EB02A7" w:rsidRPr="00C47C5C">
        <w:rPr>
          <w:rFonts w:cs="Times New Roman"/>
          <w:sz w:val="20"/>
          <w:szCs w:val="20"/>
        </w:rPr>
        <w:t xml:space="preserve">Evaluacija imunohistokemijske reakcije provedena je određivanjem imunoreaktivnog skora, kako su </w:t>
      </w:r>
      <w:r w:rsidR="006C1D07" w:rsidRPr="00C47C5C">
        <w:rPr>
          <w:rFonts w:cs="Times New Roman"/>
          <w:sz w:val="20"/>
          <w:szCs w:val="20"/>
        </w:rPr>
        <w:t xml:space="preserve">predložili Remmele i Stegner </w:t>
      </w:r>
      <w:r w:rsidR="006C1D07" w:rsidRPr="00C47C5C">
        <w:rPr>
          <w:rFonts w:cs="Times New Roman"/>
          <w:sz w:val="20"/>
          <w:szCs w:val="20"/>
        </w:rPr>
        <w:fldChar w:fldCharType="begin" w:fldLock="1"/>
      </w:r>
      <w:r w:rsidR="00F41B60">
        <w:rPr>
          <w:rFonts w:cs="Times New Roman"/>
          <w:sz w:val="20"/>
          <w:szCs w:val="20"/>
        </w:rPr>
        <w:instrText>ADDIN CSL_CITATION {"citationItems":[{"id":"ITEM-1","itemData":{"author":[{"dropping-particle":"Der","family":"Lra","given":"Mammakarzinomgewebe","non-dropping-particle":"","parse-names":false,"suffix":""},{"dropping-particle":"","family":"Mammatumoren","given":"Regel","non-dropping-particle":"","parse-names":false,"suffix":""},{"dropping-particle":"","family":"Lra","given":"Der","non-dropping-particle":"","parse-names":false,"suffix":""},{"dropping-particle":"","family":"Klein","given":"Herrn","non-dropping-particle":"","parse-names":false,"suffix":""},{"dropping-particle":"","family":"Assay","given":"Dextran-coated Charcoal","non-dropping-particle":"","parse-names":false,"suffix":""},{"dropping-particle":"","family":"Hinweise","given":"Weitere","non-dropping-particle":"","parse-names":false,"suffix":""},{"dropping-particle":"","family":"Enzyme-linked","given":"Estrogen Receptor","non-dropping-particle":"","parse-names":false,"suffix":""},{"dropping-particle":"","family":"La-","given":"Abbott","non-dropping-particle":"","parse-names":false,"suffix":""}],"id":"ITEM-1","issue":"November","issued":{"date-parts":[["1986"]]},"title":"Immunhistochemischer Nachweis von Östrogenrezeptoren ( ER-ICA ) im Mammakarzinomgewebe : Vorschlag zur einheitlichen Formulierung","type":"article-journal"},"uris":["http://www.mendeley.com/documents/?uuid=3e1c76e7-b350-4d91-a7d2-9882c9c59c0c"]}],"mendeley":{"formattedCitation":"(Lra &lt;i&gt;et al.&lt;/i&gt;, 1986)","manualFormatting":"(Lra i sur., 1986)","plainTextFormattedCitation":"(Lra et al., 1986)","previouslyFormattedCitation":"(Lra &lt;i&gt;et al.&lt;/i&gt;, 1986)"},"properties":{"noteIndex":0},"schema":"https://github.com/citation-style-language/schema/raw/master/csl-citation.json"}</w:instrText>
      </w:r>
      <w:r w:rsidR="006C1D07" w:rsidRPr="00C47C5C">
        <w:rPr>
          <w:rFonts w:cs="Times New Roman"/>
          <w:sz w:val="20"/>
          <w:szCs w:val="20"/>
        </w:rPr>
        <w:fldChar w:fldCharType="separate"/>
      </w:r>
      <w:r w:rsidR="006C1D07" w:rsidRPr="00C47C5C">
        <w:rPr>
          <w:rFonts w:cs="Times New Roman"/>
          <w:noProof/>
          <w:sz w:val="20"/>
          <w:szCs w:val="20"/>
        </w:rPr>
        <w:t xml:space="preserve">(Lra </w:t>
      </w:r>
      <w:r w:rsidR="003F4A87">
        <w:rPr>
          <w:rFonts w:cs="Times New Roman"/>
          <w:i/>
          <w:noProof/>
          <w:sz w:val="20"/>
          <w:szCs w:val="20"/>
        </w:rPr>
        <w:t>i sur.,</w:t>
      </w:r>
      <w:r w:rsidR="006C1D07" w:rsidRPr="00C47C5C">
        <w:rPr>
          <w:rFonts w:cs="Times New Roman"/>
          <w:noProof/>
          <w:sz w:val="20"/>
          <w:szCs w:val="20"/>
        </w:rPr>
        <w:t xml:space="preserve"> 1986)</w:t>
      </w:r>
      <w:r w:rsidR="006C1D07" w:rsidRPr="00C47C5C">
        <w:rPr>
          <w:rFonts w:cs="Times New Roman"/>
          <w:sz w:val="20"/>
          <w:szCs w:val="20"/>
        </w:rPr>
        <w:fldChar w:fldCharType="end"/>
      </w:r>
      <w:r w:rsidR="00EB02A7" w:rsidRPr="00C47C5C">
        <w:rPr>
          <w:rFonts w:cs="Times New Roman"/>
          <w:sz w:val="20"/>
          <w:szCs w:val="20"/>
        </w:rPr>
        <w:t>: IRS (immunoreactive score) = SI (staining intensity) x PP (percentage of positive cells). SI je definiran kao 0, negativan; 1, slab; 2, umjeren; i 3, jak. PP je definiran kao 0, negativan; 1, do 10% pozitivnih stanica; 2, 11 – 50% pozitivnih stanica; 3, 51 – 80% pozitivnih stanica; i 4, više od 80% pozitivnih stanica. Analizirano je deset vidnih polja povećanja 400x iz razl</w:t>
      </w:r>
      <w:r w:rsidR="00AD6D8A" w:rsidRPr="00C47C5C">
        <w:rPr>
          <w:rFonts w:cs="Times New Roman"/>
          <w:sz w:val="20"/>
          <w:szCs w:val="20"/>
        </w:rPr>
        <w:t xml:space="preserve">ičitih dijelova svakog uzorka. </w:t>
      </w:r>
    </w:p>
    <w:p w:rsidR="00EB02A7" w:rsidRPr="00EB02A7" w:rsidRDefault="00EB02A7" w:rsidP="00AD6D8A">
      <w:pPr>
        <w:pStyle w:val="Heading2"/>
        <w:spacing w:after="300"/>
        <w:ind w:left="284"/>
      </w:pPr>
      <w:bookmarkStart w:id="11" w:name="_Toc7695570"/>
      <w:r w:rsidRPr="00EB02A7">
        <w:t>4.4. Izolacija RNA, reverzna transkripcija i qRT-PCR</w:t>
      </w:r>
      <w:bookmarkEnd w:id="11"/>
    </w:p>
    <w:p w:rsidR="00DF1E8F" w:rsidRPr="00C47C5C" w:rsidRDefault="00EB02A7" w:rsidP="00FC5A3E">
      <w:pPr>
        <w:spacing w:line="360" w:lineRule="auto"/>
        <w:jc w:val="both"/>
        <w:rPr>
          <w:rFonts w:cs="Times New Roman"/>
          <w:sz w:val="20"/>
          <w:szCs w:val="20"/>
        </w:rPr>
      </w:pPr>
      <w:r w:rsidRPr="00C47C5C">
        <w:rPr>
          <w:rFonts w:cs="Times New Roman"/>
          <w:sz w:val="20"/>
          <w:szCs w:val="20"/>
        </w:rPr>
        <w:t xml:space="preserve">Ukupna RNA izolirana je iz parafinskih rezova (5x5 μm) arhivskih tkivnih </w:t>
      </w:r>
      <w:r w:rsidR="00D621B6" w:rsidRPr="00C47C5C">
        <w:rPr>
          <w:rFonts w:cs="Times New Roman"/>
          <w:sz w:val="20"/>
          <w:szCs w:val="20"/>
        </w:rPr>
        <w:t>blokova difuznog karcinoma želu</w:t>
      </w:r>
      <w:r w:rsidRPr="00C47C5C">
        <w:rPr>
          <w:rFonts w:cs="Times New Roman"/>
          <w:sz w:val="20"/>
          <w:szCs w:val="20"/>
        </w:rPr>
        <w:t>ca (n = 19)  i kontrol</w:t>
      </w:r>
      <w:r w:rsidR="003F4DDB" w:rsidRPr="00C47C5C">
        <w:rPr>
          <w:rFonts w:cs="Times New Roman"/>
          <w:sz w:val="20"/>
          <w:szCs w:val="20"/>
        </w:rPr>
        <w:t>nog</w:t>
      </w:r>
      <w:r w:rsidR="00FE565C" w:rsidRPr="00C47C5C">
        <w:rPr>
          <w:rFonts w:cs="Times New Roman"/>
          <w:sz w:val="20"/>
          <w:szCs w:val="20"/>
        </w:rPr>
        <w:t xml:space="preserve"> netumorskog</w:t>
      </w:r>
      <w:r w:rsidR="003F4DDB" w:rsidRPr="00C47C5C">
        <w:rPr>
          <w:rFonts w:cs="Times New Roman"/>
          <w:sz w:val="20"/>
          <w:szCs w:val="20"/>
        </w:rPr>
        <w:t xml:space="preserve"> tkiva (n</w:t>
      </w:r>
      <w:r w:rsidR="00FE565C" w:rsidRPr="00C47C5C">
        <w:rPr>
          <w:rFonts w:cs="Times New Roman"/>
          <w:sz w:val="20"/>
          <w:szCs w:val="20"/>
        </w:rPr>
        <w:t xml:space="preserve"> </w:t>
      </w:r>
      <w:r w:rsidR="003F4DDB" w:rsidRPr="00C47C5C">
        <w:rPr>
          <w:rFonts w:cs="Times New Roman"/>
          <w:sz w:val="20"/>
          <w:szCs w:val="20"/>
        </w:rPr>
        <w:t>= 19) sluznice želu</w:t>
      </w:r>
      <w:r w:rsidRPr="00C47C5C">
        <w:rPr>
          <w:rFonts w:cs="Times New Roman"/>
          <w:sz w:val="20"/>
          <w:szCs w:val="20"/>
        </w:rPr>
        <w:t xml:space="preserve">ca. </w:t>
      </w:r>
      <w:r w:rsidR="00AD6D8A" w:rsidRPr="00C47C5C">
        <w:rPr>
          <w:rFonts w:cs="Times New Roman"/>
          <w:sz w:val="20"/>
          <w:szCs w:val="20"/>
        </w:rPr>
        <w:t xml:space="preserve">Tkivni rezovi </w:t>
      </w:r>
      <w:r w:rsidR="00D621B6" w:rsidRPr="00C47C5C">
        <w:rPr>
          <w:rFonts w:cs="Times New Roman"/>
          <w:sz w:val="20"/>
          <w:szCs w:val="20"/>
        </w:rPr>
        <w:t xml:space="preserve">najprije </w:t>
      </w:r>
      <w:r w:rsidR="00AD6D8A" w:rsidRPr="00C47C5C">
        <w:rPr>
          <w:rFonts w:cs="Times New Roman"/>
          <w:sz w:val="20"/>
          <w:szCs w:val="20"/>
        </w:rPr>
        <w:t xml:space="preserve">su </w:t>
      </w:r>
      <w:r w:rsidRPr="00C47C5C">
        <w:rPr>
          <w:rFonts w:cs="Times New Roman"/>
          <w:sz w:val="20"/>
          <w:szCs w:val="20"/>
        </w:rPr>
        <w:t>deparafiniz</w:t>
      </w:r>
      <w:r w:rsidR="00AD6D8A" w:rsidRPr="00C47C5C">
        <w:rPr>
          <w:rFonts w:cs="Times New Roman"/>
          <w:sz w:val="20"/>
          <w:szCs w:val="20"/>
        </w:rPr>
        <w:t>i</w:t>
      </w:r>
      <w:r w:rsidR="00B479A8" w:rsidRPr="00C47C5C">
        <w:rPr>
          <w:rFonts w:cs="Times New Roman"/>
          <w:sz w:val="20"/>
          <w:szCs w:val="20"/>
        </w:rPr>
        <w:t>rani inkubacijom kroz 3 minute na 50°C u 1 ml</w:t>
      </w:r>
      <w:r w:rsidRPr="00C47C5C">
        <w:rPr>
          <w:rFonts w:cs="Times New Roman"/>
          <w:sz w:val="20"/>
          <w:szCs w:val="20"/>
        </w:rPr>
        <w:t xml:space="preserve"> ksilena (Invitrogen, SAD) te zatim centrifugirani 5 minuta na maksimalnom broju okretaja (15 000 rpm). Nakon toga odbačen je supernatant</w:t>
      </w:r>
      <w:r w:rsidR="00DF1E8F" w:rsidRPr="00C47C5C">
        <w:rPr>
          <w:rFonts w:cs="Times New Roman"/>
          <w:sz w:val="20"/>
          <w:szCs w:val="20"/>
        </w:rPr>
        <w:t>,</w:t>
      </w:r>
      <w:r w:rsidRPr="00C47C5C">
        <w:rPr>
          <w:rFonts w:cs="Times New Roman"/>
          <w:sz w:val="20"/>
          <w:szCs w:val="20"/>
        </w:rPr>
        <w:t xml:space="preserve"> a tkivni pelet ispran</w:t>
      </w:r>
      <w:r w:rsidR="00DF1E8F" w:rsidRPr="00C47C5C">
        <w:rPr>
          <w:rFonts w:cs="Times New Roman"/>
          <w:sz w:val="20"/>
          <w:szCs w:val="20"/>
        </w:rPr>
        <w:t xml:space="preserve"> je</w:t>
      </w:r>
      <w:r w:rsidRPr="00C47C5C">
        <w:rPr>
          <w:rFonts w:cs="Times New Roman"/>
          <w:sz w:val="20"/>
          <w:szCs w:val="20"/>
        </w:rPr>
        <w:t xml:space="preserve"> u 1ml apsolutnog etanola. Uzorci tkiva potom su inkubirani preko noći na 55°C</w:t>
      </w:r>
      <w:r w:rsidR="00B479A8" w:rsidRPr="00C47C5C">
        <w:rPr>
          <w:rFonts w:cs="Times New Roman"/>
          <w:sz w:val="20"/>
          <w:szCs w:val="20"/>
        </w:rPr>
        <w:t xml:space="preserve"> u 300 μL digestijskog pufera s</w:t>
      </w:r>
      <w:r w:rsidRPr="00C47C5C">
        <w:rPr>
          <w:rFonts w:cs="Times New Roman"/>
          <w:sz w:val="20"/>
          <w:szCs w:val="20"/>
        </w:rPr>
        <w:t xml:space="preserve"> proteazom K [20 mM Tris-HCl (pH 8.0); 1 mM CaCl2; 0.5% natrij dodecil sulfata i 500 μg/ml proteza K]. Ukupna RNA potom je izolirana uporabom Trizol reagensa (Invitrogen Life Technologies, Carlsbad, CA, SAD) slijedeći upute proizvođača. Kvaliteta i kvantiteta izolirane ukupne RNA određena je uporabom spektrofotometra NanoDrop 2000 (Thermo Fisher Scientific, SAD). 2 μg ukupne RNA svakog uzorka tkiva prepisano je u cD</w:t>
      </w:r>
      <w:r w:rsidR="00B479A8" w:rsidRPr="00C47C5C">
        <w:rPr>
          <w:rFonts w:cs="Times New Roman"/>
          <w:sz w:val="20"/>
          <w:szCs w:val="20"/>
        </w:rPr>
        <w:t xml:space="preserve">NA uporabom </w:t>
      </w:r>
      <w:r w:rsidRPr="00C47C5C">
        <w:rPr>
          <w:rFonts w:cs="Times New Roman"/>
          <w:sz w:val="20"/>
          <w:szCs w:val="20"/>
        </w:rPr>
        <w:t>The high capacity cDNA Reverse Transcription kit-a (Applied Biosystems,</w:t>
      </w:r>
      <w:r w:rsidR="00B479A8" w:rsidRPr="00C47C5C">
        <w:rPr>
          <w:rFonts w:cs="Times New Roman"/>
          <w:sz w:val="20"/>
          <w:szCs w:val="20"/>
        </w:rPr>
        <w:t xml:space="preserve"> Thermo Fisher Scientific, SAD)</w:t>
      </w:r>
      <w:r w:rsidRPr="00C47C5C">
        <w:rPr>
          <w:rFonts w:cs="Times New Roman"/>
          <w:sz w:val="20"/>
          <w:szCs w:val="20"/>
        </w:rPr>
        <w:t xml:space="preserve"> slijedeći upute proizvođača.  Nakon toga ekspresija </w:t>
      </w:r>
      <w:r w:rsidRPr="00C47C5C">
        <w:rPr>
          <w:rFonts w:cs="Times New Roman"/>
          <w:i/>
          <w:sz w:val="20"/>
          <w:szCs w:val="20"/>
        </w:rPr>
        <w:t xml:space="preserve">PTX3 </w:t>
      </w:r>
      <w:r w:rsidRPr="00C47C5C">
        <w:rPr>
          <w:rFonts w:cs="Times New Roman"/>
          <w:sz w:val="20"/>
          <w:szCs w:val="20"/>
        </w:rPr>
        <w:t>gena na razini mRNA kvantificirana je uporabom CFX-96 qRT-PCR detekcijskog sustava i C100 Thermal cycler (Bio-Rad laboratories, SAD). Sve qRT-PCR reakcije izvedene su u triplikatu uz korištenje TB Green™ Premix Ex Taq™ II (Tli RNaseH Plus PCR master miksa</w:t>
      </w:r>
      <w:r w:rsidR="00B479A8" w:rsidRPr="00C47C5C">
        <w:rPr>
          <w:rFonts w:cs="Times New Roman"/>
          <w:sz w:val="20"/>
          <w:szCs w:val="20"/>
        </w:rPr>
        <w:t xml:space="preserve"> </w:t>
      </w:r>
      <w:r w:rsidRPr="00C47C5C">
        <w:rPr>
          <w:rFonts w:cs="Times New Roman"/>
          <w:sz w:val="20"/>
          <w:szCs w:val="20"/>
        </w:rPr>
        <w:t xml:space="preserve">(Takara </w:t>
      </w:r>
      <w:r w:rsidR="00DF1E8F" w:rsidRPr="00C47C5C">
        <w:rPr>
          <w:rFonts w:cs="Times New Roman"/>
          <w:sz w:val="20"/>
          <w:szCs w:val="20"/>
        </w:rPr>
        <w:t>Biotechnology Co., Ltd.) uz slj</w:t>
      </w:r>
      <w:r w:rsidRPr="00C47C5C">
        <w:rPr>
          <w:rFonts w:cs="Times New Roman"/>
          <w:sz w:val="20"/>
          <w:szCs w:val="20"/>
        </w:rPr>
        <w:t>edeće parametre PCR reakcije: 1</w:t>
      </w:r>
      <w:r w:rsidR="00B479A8" w:rsidRPr="00C47C5C">
        <w:rPr>
          <w:rFonts w:cs="Times New Roman"/>
          <w:sz w:val="20"/>
          <w:szCs w:val="20"/>
        </w:rPr>
        <w:t>. korak – d</w:t>
      </w:r>
      <w:r w:rsidRPr="00C47C5C">
        <w:rPr>
          <w:rFonts w:cs="Times New Roman"/>
          <w:sz w:val="20"/>
          <w:szCs w:val="20"/>
        </w:rPr>
        <w:t>ena</w:t>
      </w:r>
      <w:r w:rsidR="00B479A8" w:rsidRPr="00C47C5C">
        <w:rPr>
          <w:rFonts w:cs="Times New Roman"/>
          <w:sz w:val="20"/>
          <w:szCs w:val="20"/>
        </w:rPr>
        <w:t>turacija cDNA: 95</w:t>
      </w:r>
      <w:r w:rsidRPr="00C47C5C">
        <w:rPr>
          <w:rFonts w:cs="Times New Roman"/>
          <w:sz w:val="20"/>
          <w:szCs w:val="20"/>
        </w:rPr>
        <w:t>°C 30s; 2</w:t>
      </w:r>
      <w:r w:rsidR="00B479A8" w:rsidRPr="00C47C5C">
        <w:rPr>
          <w:rFonts w:cs="Times New Roman"/>
          <w:sz w:val="20"/>
          <w:szCs w:val="20"/>
        </w:rPr>
        <w:t>. korak – PCR ciklusi: 95°C 5 s, 60</w:t>
      </w:r>
      <w:r w:rsidRPr="00C47C5C">
        <w:rPr>
          <w:rFonts w:cs="Times New Roman"/>
          <w:sz w:val="20"/>
          <w:szCs w:val="20"/>
        </w:rPr>
        <w:t>°C 30 s, 40 ciklusa. Amplifi</w:t>
      </w:r>
      <w:r w:rsidR="00B479A8" w:rsidRPr="00C47C5C">
        <w:rPr>
          <w:rFonts w:cs="Times New Roman"/>
          <w:sz w:val="20"/>
          <w:szCs w:val="20"/>
        </w:rPr>
        <w:t xml:space="preserve">kacijski prag qRT-PCR reakcije </w:t>
      </w:r>
      <w:r w:rsidRPr="00C47C5C">
        <w:rPr>
          <w:rFonts w:cs="Times New Roman"/>
          <w:sz w:val="20"/>
          <w:szCs w:val="20"/>
        </w:rPr>
        <w:t>(Ct, engl</w:t>
      </w:r>
      <w:r w:rsidR="00B479A8" w:rsidRPr="00C47C5C">
        <w:rPr>
          <w:rFonts w:cs="Times New Roman"/>
          <w:sz w:val="20"/>
          <w:szCs w:val="20"/>
        </w:rPr>
        <w:t>.</w:t>
      </w:r>
      <w:r w:rsidRPr="00C47C5C">
        <w:rPr>
          <w:rFonts w:cs="Times New Roman"/>
          <w:sz w:val="20"/>
          <w:szCs w:val="20"/>
        </w:rPr>
        <w:t xml:space="preserve"> cycle treshold ) određen je korištenjem  CFX96 softvera</w:t>
      </w:r>
      <w:r w:rsidR="00B479A8" w:rsidRPr="00C47C5C">
        <w:rPr>
          <w:rFonts w:cs="Times New Roman"/>
          <w:sz w:val="20"/>
          <w:szCs w:val="20"/>
        </w:rPr>
        <w:t>,</w:t>
      </w:r>
      <w:r w:rsidRPr="00C47C5C">
        <w:rPr>
          <w:rFonts w:cs="Times New Roman"/>
          <w:sz w:val="20"/>
          <w:szCs w:val="20"/>
        </w:rPr>
        <w:t xml:space="preserve"> a dobiveni podaci analizirani su uporabom  2-ΔΔCT metode. Relativna ekspresija ciljanog gena normalizirana je prema ekspresij</w:t>
      </w:r>
      <w:r w:rsidR="00B479A8" w:rsidRPr="00C47C5C">
        <w:rPr>
          <w:rFonts w:cs="Times New Roman"/>
          <w:sz w:val="20"/>
          <w:szCs w:val="20"/>
        </w:rPr>
        <w:t>skim vrijednostima gena za beta-</w:t>
      </w:r>
      <w:r w:rsidRPr="00C47C5C">
        <w:rPr>
          <w:rFonts w:cs="Times New Roman"/>
          <w:sz w:val="20"/>
          <w:szCs w:val="20"/>
        </w:rPr>
        <w:t>aktin (ACTB) koji je korišten kao endogena kontrola. Specifičnost qRT-PCR amplifikacije određena je pomoću tzv. „melting curve“ analize. Nukleotidni redoslijed</w:t>
      </w:r>
      <w:r w:rsidR="00DD1BC1" w:rsidRPr="00C47C5C">
        <w:rPr>
          <w:rFonts w:cs="Times New Roman"/>
          <w:sz w:val="20"/>
          <w:szCs w:val="20"/>
        </w:rPr>
        <w:t>i</w:t>
      </w:r>
      <w:r w:rsidRPr="00C47C5C">
        <w:rPr>
          <w:rFonts w:cs="Times New Roman"/>
          <w:sz w:val="20"/>
          <w:szCs w:val="20"/>
        </w:rPr>
        <w:t xml:space="preserve"> početnica kor</w:t>
      </w:r>
      <w:r w:rsidR="007625CE" w:rsidRPr="00C47C5C">
        <w:rPr>
          <w:rFonts w:cs="Times New Roman"/>
          <w:sz w:val="20"/>
          <w:szCs w:val="20"/>
        </w:rPr>
        <w:t xml:space="preserve">ištenih za qRT-PCR reakciju su: </w:t>
      </w:r>
      <w:r w:rsidRPr="00C47C5C">
        <w:rPr>
          <w:rFonts w:cs="Times New Roman"/>
          <w:sz w:val="20"/>
          <w:szCs w:val="20"/>
        </w:rPr>
        <w:t>PTX3 FW: 5-GGGACAAGCTCTTCATCATGCT-3, RW: 5-GTCGTCCGTGGCTTGCA-3 (referentna sekvenca NM_002852.4) ; ACTB FW: 5'-GGGCATGGGTCAGAAGGATT-3' RW: 5'-AGTTGGTGACGATGCCGTG-3' (Referentna sekvenca: NM_001101).</w:t>
      </w:r>
    </w:p>
    <w:p w:rsidR="004307E6" w:rsidRDefault="00DF1E8F" w:rsidP="001F2EE8">
      <w:pPr>
        <w:pStyle w:val="Heading2"/>
        <w:spacing w:after="300"/>
        <w:ind w:left="284"/>
      </w:pPr>
      <w:bookmarkStart w:id="12" w:name="_Toc7695571"/>
      <w:r>
        <w:lastRenderedPageBreak/>
        <w:t>4.5. S</w:t>
      </w:r>
      <w:r w:rsidR="00B279DD">
        <w:t>tatističk</w:t>
      </w:r>
      <w:r w:rsidR="0018202A">
        <w:t>a</w:t>
      </w:r>
      <w:r w:rsidR="005B61A4">
        <w:t xml:space="preserve"> </w:t>
      </w:r>
      <w:r w:rsidR="00B8442B">
        <w:t>obrada podataka</w:t>
      </w:r>
      <w:bookmarkEnd w:id="12"/>
    </w:p>
    <w:p w:rsidR="00B8442B" w:rsidRPr="00B8442B" w:rsidRDefault="00B8442B" w:rsidP="00162375">
      <w:pPr>
        <w:spacing w:line="360" w:lineRule="auto"/>
        <w:jc w:val="both"/>
        <w:rPr>
          <w:sz w:val="20"/>
          <w:szCs w:val="20"/>
        </w:rPr>
      </w:pPr>
      <w:r w:rsidRPr="00B8442B">
        <w:rPr>
          <w:sz w:val="20"/>
          <w:szCs w:val="20"/>
        </w:rPr>
        <w:t>Statistička obrada podataka izvršena je uporabom SPSS statističkog softvera (IBM® SPSS®, trial version). Rezultati su pr</w:t>
      </w:r>
      <w:r>
        <w:rPr>
          <w:sz w:val="20"/>
          <w:szCs w:val="20"/>
        </w:rPr>
        <w:t xml:space="preserve">ikazan kao broj (n) i postotak (%) </w:t>
      </w:r>
      <w:r w:rsidRPr="00B8442B">
        <w:rPr>
          <w:sz w:val="20"/>
          <w:szCs w:val="20"/>
        </w:rPr>
        <w:t xml:space="preserve">za kategoričke varijable te kao srednja vrijednost ± SD (standardna devijacija) za normalno distribuirane varijable. Normalna distribucija varijabli ispitana je primjenom </w:t>
      </w:r>
      <w:r>
        <w:rPr>
          <w:sz w:val="20"/>
          <w:szCs w:val="20"/>
        </w:rPr>
        <w:t>Kolmogorov–Smirnov/Shapiro Wilk</w:t>
      </w:r>
      <w:r w:rsidRPr="00B8442B">
        <w:rPr>
          <w:sz w:val="20"/>
          <w:szCs w:val="20"/>
        </w:rPr>
        <w:t xml:space="preserve"> testa. Veza između demografskih/kliničkih podataka sa ekspresijom PTX3 izvršena je primjenom χ2/Fisher eg</w:t>
      </w:r>
      <w:r>
        <w:rPr>
          <w:sz w:val="20"/>
          <w:szCs w:val="20"/>
        </w:rPr>
        <w:t xml:space="preserve">zaktnog testa za nekontinuirane/kategoričke variable. </w:t>
      </w:r>
      <w:r w:rsidRPr="00B8442B">
        <w:rPr>
          <w:sz w:val="20"/>
          <w:szCs w:val="20"/>
        </w:rPr>
        <w:t>U</w:t>
      </w:r>
      <w:r w:rsidR="00162375">
        <w:rPr>
          <w:sz w:val="20"/>
          <w:szCs w:val="20"/>
        </w:rPr>
        <w:t>sporedba između grupa izvršena je primjenom Student t</w:t>
      </w:r>
      <w:r w:rsidRPr="00B8442B">
        <w:rPr>
          <w:sz w:val="20"/>
          <w:szCs w:val="20"/>
        </w:rPr>
        <w:t xml:space="preserve"> testa za parametrijske odnosno normalno distribu</w:t>
      </w:r>
      <w:r w:rsidR="00162375">
        <w:rPr>
          <w:sz w:val="20"/>
          <w:szCs w:val="20"/>
        </w:rPr>
        <w:t xml:space="preserve">irane varijable te Mann–Whitney </w:t>
      </w:r>
      <w:r w:rsidRPr="00B8442B">
        <w:rPr>
          <w:sz w:val="20"/>
          <w:szCs w:val="20"/>
        </w:rPr>
        <w:t>U/Kruskal–Wallis testa za neparametrijske vari</w:t>
      </w:r>
      <w:r>
        <w:rPr>
          <w:sz w:val="20"/>
          <w:szCs w:val="20"/>
        </w:rPr>
        <w:t xml:space="preserve">jable. </w:t>
      </w:r>
      <w:r w:rsidRPr="00B8442B">
        <w:rPr>
          <w:sz w:val="20"/>
          <w:szCs w:val="20"/>
        </w:rPr>
        <w:t>Vrijednosti P (two-tailed) &lt;0.05 smatraju se  statistički signifikantnima.</w:t>
      </w:r>
    </w:p>
    <w:p w:rsidR="004307E6" w:rsidRDefault="004307E6">
      <w:pPr>
        <w:rPr>
          <w:rFonts w:eastAsiaTheme="majorEastAsia" w:cstheme="majorBidi"/>
          <w:b/>
          <w:bCs/>
          <w:color w:val="000000" w:themeColor="text1"/>
          <w:szCs w:val="26"/>
        </w:rPr>
      </w:pPr>
      <w:r>
        <w:br w:type="page"/>
      </w:r>
    </w:p>
    <w:p w:rsidR="00037DC8" w:rsidRPr="00C47C5C" w:rsidRDefault="00DF1E8F" w:rsidP="00C47C5C">
      <w:pPr>
        <w:pStyle w:val="Heading2"/>
        <w:spacing w:after="300"/>
        <w:ind w:left="284"/>
        <w:rPr>
          <w:bCs w:val="0"/>
          <w:szCs w:val="28"/>
        </w:rPr>
      </w:pPr>
      <w:r>
        <w:lastRenderedPageBreak/>
        <w:br/>
      </w:r>
      <w:bookmarkStart w:id="13" w:name="_Toc7695572"/>
      <w:r w:rsidR="00037DC8">
        <w:t>5. REZULTATI</w:t>
      </w:r>
      <w:bookmarkEnd w:id="13"/>
    </w:p>
    <w:p w:rsidR="006962F7" w:rsidRPr="00C47C5C" w:rsidRDefault="006962F7" w:rsidP="00C47C5C">
      <w:pPr>
        <w:jc w:val="both"/>
        <w:rPr>
          <w:rFonts w:cs="Times New Roman"/>
          <w:sz w:val="20"/>
          <w:szCs w:val="20"/>
        </w:rPr>
      </w:pPr>
      <w:r w:rsidRPr="00C47C5C">
        <w:rPr>
          <w:rFonts w:cs="Times New Roman"/>
          <w:sz w:val="20"/>
          <w:szCs w:val="20"/>
        </w:rPr>
        <w:t xml:space="preserve">Tablica 1. pokazuje spol, dob, lokalizaciju i stadij tumorske bolest prema TNM klasifikaciji za ispitnike s difuznim karcinomom želuca. </w:t>
      </w:r>
      <w:r w:rsidR="006C1D07" w:rsidRPr="00C47C5C">
        <w:rPr>
          <w:rFonts w:cs="Times New Roman"/>
          <w:sz w:val="20"/>
          <w:szCs w:val="20"/>
        </w:rPr>
        <w:t>Tablica 2. pokazuje spol, dob i lokalizaciju uzoraka u kontrolnoj netumorskoj skupini.</w:t>
      </w:r>
    </w:p>
    <w:p w:rsidR="006962F7" w:rsidRPr="0088624C" w:rsidRDefault="006962F7" w:rsidP="006962F7">
      <w:pPr>
        <w:pStyle w:val="Caption"/>
        <w:keepNext/>
        <w:rPr>
          <w:b w:val="0"/>
          <w:color w:val="auto"/>
          <w:sz w:val="20"/>
          <w:szCs w:val="20"/>
        </w:rPr>
      </w:pPr>
      <w:r w:rsidRPr="0088624C">
        <w:rPr>
          <w:b w:val="0"/>
          <w:color w:val="auto"/>
          <w:sz w:val="20"/>
          <w:szCs w:val="20"/>
        </w:rPr>
        <w:t>Tablica 1.</w:t>
      </w:r>
      <w:r w:rsidR="00FC5A3E" w:rsidRPr="0088624C">
        <w:rPr>
          <w:b w:val="0"/>
          <w:color w:val="auto"/>
          <w:sz w:val="20"/>
          <w:szCs w:val="20"/>
        </w:rPr>
        <w:t xml:space="preserve"> Demografski podaci i kliničko-patološki parametri </w:t>
      </w:r>
      <w:r w:rsidR="00530B96">
        <w:rPr>
          <w:b w:val="0"/>
          <w:color w:val="auto"/>
          <w:sz w:val="20"/>
          <w:szCs w:val="20"/>
        </w:rPr>
        <w:t>oboljelih od difuznog karcinoma želuca</w:t>
      </w:r>
    </w:p>
    <w:tbl>
      <w:tblPr>
        <w:tblStyle w:val="TableGrid"/>
        <w:tblW w:w="0" w:type="auto"/>
        <w:tblLook w:val="04A0" w:firstRow="1" w:lastRow="0" w:firstColumn="1" w:lastColumn="0" w:noHBand="0" w:noVBand="1"/>
      </w:tblPr>
      <w:tblGrid>
        <w:gridCol w:w="1548"/>
        <w:gridCol w:w="1548"/>
        <w:gridCol w:w="1548"/>
        <w:gridCol w:w="1548"/>
        <w:gridCol w:w="1548"/>
        <w:gridCol w:w="1548"/>
      </w:tblGrid>
      <w:tr w:rsidR="007D27E3" w:rsidRPr="0088624C" w:rsidTr="007D27E3">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Redni broj ispitanika</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Spol</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Dob</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Lokalizacija</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Patološki TNM stadij</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Klinički TNM stadij</w:t>
            </w:r>
          </w:p>
        </w:tc>
      </w:tr>
      <w:tr w:rsidR="007D27E3" w:rsidRPr="0088624C" w:rsidTr="007D27E3">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1.</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66</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korpus</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pT3N1MX</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T3N1M0</w:t>
            </w:r>
          </w:p>
        </w:tc>
      </w:tr>
      <w:tr w:rsidR="007D27E3" w:rsidRPr="0088624C" w:rsidTr="007D27E3">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2.</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Ž</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51</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velika krivina</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pT4bN3aM1</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T4bN3aM1</w:t>
            </w:r>
          </w:p>
        </w:tc>
      </w:tr>
      <w:tr w:rsidR="007D27E3" w:rsidRPr="0088624C" w:rsidTr="007D27E3">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3.</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71</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pT3N2MX</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T3N2M0</w:t>
            </w:r>
          </w:p>
        </w:tc>
      </w:tr>
      <w:tr w:rsidR="007D27E3" w:rsidRPr="0088624C" w:rsidTr="007D27E3">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4.</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67</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pilorus</w:t>
            </w:r>
          </w:p>
        </w:tc>
        <w:tc>
          <w:tcPr>
            <w:tcW w:w="1548" w:type="dxa"/>
          </w:tcPr>
          <w:p w:rsidR="007D27E3" w:rsidRPr="0088624C" w:rsidRDefault="007D27E3" w:rsidP="006962F7">
            <w:pPr>
              <w:jc w:val="center"/>
              <w:rPr>
                <w:rFonts w:cs="Times New Roman"/>
                <w:bCs/>
                <w:sz w:val="20"/>
                <w:szCs w:val="20"/>
              </w:rPr>
            </w:pPr>
            <w:r w:rsidRPr="0088624C">
              <w:rPr>
                <w:rFonts w:cs="Times New Roman"/>
                <w:bCs/>
                <w:sz w:val="20"/>
                <w:szCs w:val="20"/>
              </w:rPr>
              <w:t>pT4aN1MX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T4aN1M0</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5.</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67</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pT4bN2MX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T4bN2M1</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6.</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73</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velika krivina</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pT4bN0MX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T4bN2M1</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7.</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Ž</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69</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mala krivina</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pT3N3bM1</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T3N3bM1</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8.</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60</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kardija</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pT3N3aMX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T3N3aM0</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9.</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Ž</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50</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mala krivina</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pT4aN0MX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T4aN0M0</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10.</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Ž</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71</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pT3N3aMX</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T3N3MX</w:t>
            </w:r>
          </w:p>
        </w:tc>
      </w:tr>
      <w:tr w:rsidR="007D27E3" w:rsidRPr="0088624C" w:rsidTr="007D27E3">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11.</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36</w:t>
            </w:r>
          </w:p>
        </w:tc>
        <w:tc>
          <w:tcPr>
            <w:tcW w:w="1548" w:type="dxa"/>
          </w:tcPr>
          <w:p w:rsidR="007D27E3" w:rsidRPr="0088624C" w:rsidRDefault="008535A0"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pT3N3aMX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T3N3M0</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12.</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48</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pT3N0MX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T3N0M0</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13.</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64</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kardija</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pT3N3aMX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nepoznato</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14.</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47</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pT1aN0MX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T1aN0M0</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15.</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68</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mala krivina</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pT3N2MX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T3N2M0</w:t>
            </w:r>
          </w:p>
        </w:tc>
      </w:tr>
      <w:tr w:rsidR="007D27E3" w:rsidRPr="0088624C" w:rsidTr="007D27E3">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16.</w:t>
            </w:r>
          </w:p>
        </w:tc>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71</w:t>
            </w:r>
          </w:p>
        </w:tc>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pT3N2MX</w:t>
            </w:r>
          </w:p>
        </w:tc>
        <w:tc>
          <w:tcPr>
            <w:tcW w:w="1548" w:type="dxa"/>
          </w:tcPr>
          <w:p w:rsidR="007D27E3" w:rsidRPr="0088624C" w:rsidRDefault="00006CB3" w:rsidP="006962F7">
            <w:pPr>
              <w:jc w:val="center"/>
              <w:rPr>
                <w:rFonts w:cs="Times New Roman"/>
                <w:bCs/>
                <w:sz w:val="20"/>
                <w:szCs w:val="20"/>
              </w:rPr>
            </w:pPr>
            <w:r w:rsidRPr="0088624C">
              <w:rPr>
                <w:rFonts w:cs="Times New Roman"/>
                <w:bCs/>
                <w:sz w:val="20"/>
                <w:szCs w:val="20"/>
              </w:rPr>
              <w:t>T3N2M0</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17.</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75</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mala krivina</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pT3N1MX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T3N1M0</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18.</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Ž</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79</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pT3N1M1</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T3N1M1</w:t>
            </w:r>
          </w:p>
        </w:tc>
      </w:tr>
      <w:tr w:rsidR="007D27E3" w:rsidRPr="0088624C" w:rsidTr="007D27E3">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19.</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58</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antrum</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pT3N1MX</w:t>
            </w:r>
          </w:p>
        </w:tc>
        <w:tc>
          <w:tcPr>
            <w:tcW w:w="1548" w:type="dxa"/>
          </w:tcPr>
          <w:p w:rsidR="007D27E3" w:rsidRPr="0088624C" w:rsidRDefault="00CD3E6E" w:rsidP="006962F7">
            <w:pPr>
              <w:jc w:val="center"/>
              <w:rPr>
                <w:rFonts w:cs="Times New Roman"/>
                <w:bCs/>
                <w:sz w:val="20"/>
                <w:szCs w:val="20"/>
              </w:rPr>
            </w:pPr>
            <w:r w:rsidRPr="0088624C">
              <w:rPr>
                <w:rFonts w:cs="Times New Roman"/>
                <w:bCs/>
                <w:sz w:val="20"/>
                <w:szCs w:val="20"/>
              </w:rPr>
              <w:t>T3N1M0</w:t>
            </w:r>
          </w:p>
        </w:tc>
      </w:tr>
    </w:tbl>
    <w:p w:rsidR="001F2EE8" w:rsidRPr="0088624C" w:rsidRDefault="001F2EE8" w:rsidP="006962F7">
      <w:pPr>
        <w:jc w:val="center"/>
        <w:rPr>
          <w:rFonts w:cs="Times New Roman"/>
          <w:bCs/>
          <w:sz w:val="20"/>
          <w:szCs w:val="20"/>
        </w:rPr>
      </w:pPr>
    </w:p>
    <w:p w:rsidR="006962F7" w:rsidRPr="0088624C" w:rsidRDefault="006962F7" w:rsidP="006962F7">
      <w:pPr>
        <w:pStyle w:val="Caption"/>
        <w:keepNext/>
        <w:rPr>
          <w:b w:val="0"/>
          <w:color w:val="auto"/>
          <w:sz w:val="20"/>
          <w:szCs w:val="20"/>
        </w:rPr>
      </w:pPr>
      <w:r w:rsidRPr="0088624C">
        <w:rPr>
          <w:b w:val="0"/>
          <w:color w:val="auto"/>
          <w:sz w:val="20"/>
          <w:szCs w:val="20"/>
        </w:rPr>
        <w:t>Tablica 2.</w:t>
      </w:r>
      <w:r w:rsidR="00F41B60" w:rsidRPr="0088624C">
        <w:rPr>
          <w:b w:val="0"/>
          <w:color w:val="auto"/>
          <w:sz w:val="20"/>
          <w:szCs w:val="20"/>
        </w:rPr>
        <w:t xml:space="preserve"> </w:t>
      </w:r>
      <w:r w:rsidR="00FC5A3E" w:rsidRPr="0088624C">
        <w:rPr>
          <w:b w:val="0"/>
          <w:color w:val="auto"/>
          <w:sz w:val="20"/>
          <w:szCs w:val="20"/>
        </w:rPr>
        <w:t>Demografski podaci i kliničko-patološki parametri</w:t>
      </w:r>
      <w:r w:rsidR="00530B96">
        <w:rPr>
          <w:b w:val="0"/>
          <w:color w:val="auto"/>
          <w:sz w:val="20"/>
          <w:szCs w:val="20"/>
        </w:rPr>
        <w:t xml:space="preserve"> kontrolnih ispitanika</w:t>
      </w:r>
    </w:p>
    <w:tbl>
      <w:tblPr>
        <w:tblStyle w:val="TableGrid"/>
        <w:tblW w:w="0" w:type="auto"/>
        <w:tblLook w:val="04A0" w:firstRow="1" w:lastRow="0" w:firstColumn="1" w:lastColumn="0" w:noHBand="0" w:noVBand="1"/>
      </w:tblPr>
      <w:tblGrid>
        <w:gridCol w:w="2322"/>
        <w:gridCol w:w="2322"/>
        <w:gridCol w:w="2322"/>
        <w:gridCol w:w="2322"/>
      </w:tblGrid>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Redni broj ispitanika</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Spol</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Dob</w:t>
            </w:r>
          </w:p>
        </w:tc>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Lokalizacija</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1.</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30</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2.</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71</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3.</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80</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korpus</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4.</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34</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5.</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66</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6.</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39</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korpus</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7.</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53</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8.</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3B32C4" w:rsidP="006962F7">
            <w:pPr>
              <w:jc w:val="center"/>
              <w:rPr>
                <w:rFonts w:cs="Times New Roman"/>
                <w:bCs/>
                <w:sz w:val="20"/>
                <w:szCs w:val="20"/>
              </w:rPr>
            </w:pPr>
            <w:r w:rsidRPr="0088624C">
              <w:rPr>
                <w:rFonts w:cs="Times New Roman"/>
                <w:bCs/>
                <w:sz w:val="20"/>
                <w:szCs w:val="20"/>
              </w:rPr>
              <w:t>28</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9.</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31</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5538F7" w:rsidP="006962F7">
            <w:pPr>
              <w:jc w:val="center"/>
              <w:rPr>
                <w:rFonts w:cs="Times New Roman"/>
                <w:bCs/>
                <w:sz w:val="20"/>
                <w:szCs w:val="20"/>
              </w:rPr>
            </w:pPr>
            <w:r w:rsidRPr="0088624C">
              <w:rPr>
                <w:rFonts w:cs="Times New Roman"/>
                <w:bCs/>
                <w:sz w:val="20"/>
                <w:szCs w:val="20"/>
              </w:rPr>
              <w:t>10.</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65</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E65C37" w:rsidP="006962F7">
            <w:pPr>
              <w:jc w:val="center"/>
              <w:rPr>
                <w:rFonts w:cs="Times New Roman"/>
                <w:bCs/>
                <w:sz w:val="20"/>
                <w:szCs w:val="20"/>
              </w:rPr>
            </w:pPr>
            <w:r>
              <w:rPr>
                <w:rFonts w:cs="Times New Roman"/>
                <w:bCs/>
                <w:sz w:val="20"/>
                <w:szCs w:val="20"/>
              </w:rPr>
              <w:t>11</w:t>
            </w:r>
            <w:r w:rsidR="005538F7" w:rsidRPr="0088624C">
              <w:rPr>
                <w:rFonts w:cs="Times New Roman"/>
                <w:bCs/>
                <w:sz w:val="20"/>
                <w:szCs w:val="20"/>
              </w:rPr>
              <w:t>.</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61</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E65C37" w:rsidP="006962F7">
            <w:pPr>
              <w:jc w:val="center"/>
              <w:rPr>
                <w:rFonts w:cs="Times New Roman"/>
                <w:bCs/>
                <w:sz w:val="20"/>
                <w:szCs w:val="20"/>
              </w:rPr>
            </w:pPr>
            <w:r>
              <w:rPr>
                <w:rFonts w:cs="Times New Roman"/>
                <w:bCs/>
                <w:sz w:val="20"/>
                <w:szCs w:val="20"/>
              </w:rPr>
              <w:t>12</w:t>
            </w:r>
            <w:r w:rsidR="005538F7" w:rsidRPr="0088624C">
              <w:rPr>
                <w:rFonts w:cs="Times New Roman"/>
                <w:bCs/>
                <w:sz w:val="20"/>
                <w:szCs w:val="20"/>
              </w:rPr>
              <w:t>.</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22</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E65C37" w:rsidP="006962F7">
            <w:pPr>
              <w:jc w:val="center"/>
              <w:rPr>
                <w:rFonts w:cs="Times New Roman"/>
                <w:bCs/>
                <w:sz w:val="20"/>
                <w:szCs w:val="20"/>
              </w:rPr>
            </w:pPr>
            <w:r>
              <w:rPr>
                <w:rFonts w:cs="Times New Roman"/>
                <w:bCs/>
                <w:sz w:val="20"/>
                <w:szCs w:val="20"/>
              </w:rPr>
              <w:t>13</w:t>
            </w:r>
            <w:r w:rsidR="005538F7" w:rsidRPr="0088624C">
              <w:rPr>
                <w:rFonts w:cs="Times New Roman"/>
                <w:bCs/>
                <w:sz w:val="20"/>
                <w:szCs w:val="20"/>
              </w:rPr>
              <w:t>.</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84</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E65C37" w:rsidP="006962F7">
            <w:pPr>
              <w:jc w:val="center"/>
              <w:rPr>
                <w:rFonts w:cs="Times New Roman"/>
                <w:bCs/>
                <w:sz w:val="20"/>
                <w:szCs w:val="20"/>
              </w:rPr>
            </w:pPr>
            <w:r>
              <w:rPr>
                <w:rFonts w:cs="Times New Roman"/>
                <w:bCs/>
                <w:sz w:val="20"/>
                <w:szCs w:val="20"/>
              </w:rPr>
              <w:t>14</w:t>
            </w:r>
            <w:r w:rsidR="005538F7" w:rsidRPr="0088624C">
              <w:rPr>
                <w:rFonts w:cs="Times New Roman"/>
                <w:bCs/>
                <w:sz w:val="20"/>
                <w:szCs w:val="20"/>
              </w:rPr>
              <w:t>.</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61</w:t>
            </w:r>
          </w:p>
        </w:tc>
        <w:tc>
          <w:tcPr>
            <w:tcW w:w="2322" w:type="dxa"/>
          </w:tcPr>
          <w:p w:rsidR="005538F7" w:rsidRPr="0088624C" w:rsidRDefault="00E95B72"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F9641F" w:rsidP="006962F7">
            <w:pPr>
              <w:jc w:val="center"/>
              <w:rPr>
                <w:rFonts w:cs="Times New Roman"/>
                <w:bCs/>
                <w:sz w:val="20"/>
                <w:szCs w:val="20"/>
              </w:rPr>
            </w:pPr>
            <w:r>
              <w:rPr>
                <w:rFonts w:cs="Times New Roman"/>
                <w:bCs/>
                <w:sz w:val="20"/>
                <w:szCs w:val="20"/>
              </w:rPr>
              <w:t>15</w:t>
            </w:r>
            <w:r w:rsidR="005538F7" w:rsidRPr="0088624C">
              <w:rPr>
                <w:rFonts w:cs="Times New Roman"/>
                <w:bCs/>
                <w:sz w:val="20"/>
                <w:szCs w:val="20"/>
              </w:rPr>
              <w:t>.</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57</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F9641F" w:rsidP="006962F7">
            <w:pPr>
              <w:jc w:val="center"/>
              <w:rPr>
                <w:rFonts w:cs="Times New Roman"/>
                <w:bCs/>
                <w:sz w:val="20"/>
                <w:szCs w:val="20"/>
              </w:rPr>
            </w:pPr>
            <w:r>
              <w:rPr>
                <w:rFonts w:cs="Times New Roman"/>
                <w:bCs/>
                <w:sz w:val="20"/>
                <w:szCs w:val="20"/>
              </w:rPr>
              <w:t>16</w:t>
            </w:r>
            <w:r w:rsidR="005538F7" w:rsidRPr="0088624C">
              <w:rPr>
                <w:rFonts w:cs="Times New Roman"/>
                <w:bCs/>
                <w:sz w:val="20"/>
                <w:szCs w:val="20"/>
              </w:rPr>
              <w:t>.</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28</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nepoznato</w:t>
            </w:r>
          </w:p>
        </w:tc>
      </w:tr>
      <w:tr w:rsidR="005538F7" w:rsidRPr="0088624C" w:rsidTr="006962F7">
        <w:tc>
          <w:tcPr>
            <w:tcW w:w="2322" w:type="dxa"/>
          </w:tcPr>
          <w:p w:rsidR="005538F7" w:rsidRPr="0088624C" w:rsidRDefault="00F9641F" w:rsidP="006962F7">
            <w:pPr>
              <w:jc w:val="center"/>
              <w:rPr>
                <w:rFonts w:cs="Times New Roman"/>
                <w:bCs/>
                <w:sz w:val="20"/>
                <w:szCs w:val="20"/>
              </w:rPr>
            </w:pPr>
            <w:r>
              <w:rPr>
                <w:rFonts w:cs="Times New Roman"/>
                <w:bCs/>
                <w:sz w:val="20"/>
                <w:szCs w:val="20"/>
              </w:rPr>
              <w:t>17</w:t>
            </w:r>
            <w:r w:rsidR="005538F7" w:rsidRPr="0088624C">
              <w:rPr>
                <w:rFonts w:cs="Times New Roman"/>
                <w:bCs/>
                <w:sz w:val="20"/>
                <w:szCs w:val="20"/>
              </w:rPr>
              <w:t>.</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71</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F9641F" w:rsidP="006962F7">
            <w:pPr>
              <w:jc w:val="center"/>
              <w:rPr>
                <w:rFonts w:cs="Times New Roman"/>
                <w:bCs/>
                <w:sz w:val="20"/>
                <w:szCs w:val="20"/>
              </w:rPr>
            </w:pPr>
            <w:r>
              <w:rPr>
                <w:rFonts w:cs="Times New Roman"/>
                <w:bCs/>
                <w:sz w:val="20"/>
                <w:szCs w:val="20"/>
              </w:rPr>
              <w:t>18</w:t>
            </w:r>
            <w:r w:rsidR="005538F7" w:rsidRPr="0088624C">
              <w:rPr>
                <w:rFonts w:cs="Times New Roman"/>
                <w:bCs/>
                <w:sz w:val="20"/>
                <w:szCs w:val="20"/>
              </w:rPr>
              <w:t>.</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M</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38</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antrum</w:t>
            </w:r>
          </w:p>
        </w:tc>
      </w:tr>
      <w:tr w:rsidR="005538F7" w:rsidRPr="0088624C" w:rsidTr="006962F7">
        <w:tc>
          <w:tcPr>
            <w:tcW w:w="2322" w:type="dxa"/>
          </w:tcPr>
          <w:p w:rsidR="005538F7" w:rsidRPr="0088624C" w:rsidRDefault="00F9641F" w:rsidP="006962F7">
            <w:pPr>
              <w:jc w:val="center"/>
              <w:rPr>
                <w:rFonts w:cs="Times New Roman"/>
                <w:bCs/>
                <w:sz w:val="20"/>
                <w:szCs w:val="20"/>
              </w:rPr>
            </w:pPr>
            <w:r>
              <w:rPr>
                <w:rFonts w:cs="Times New Roman"/>
                <w:bCs/>
                <w:sz w:val="20"/>
                <w:szCs w:val="20"/>
              </w:rPr>
              <w:t>19</w:t>
            </w:r>
            <w:r w:rsidR="005538F7" w:rsidRPr="0088624C">
              <w:rPr>
                <w:rFonts w:cs="Times New Roman"/>
                <w:bCs/>
                <w:sz w:val="20"/>
                <w:szCs w:val="20"/>
              </w:rPr>
              <w:t>.</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Ž</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44</w:t>
            </w:r>
          </w:p>
        </w:tc>
        <w:tc>
          <w:tcPr>
            <w:tcW w:w="2322" w:type="dxa"/>
          </w:tcPr>
          <w:p w:rsidR="005538F7" w:rsidRPr="0088624C" w:rsidRDefault="00C47D9F" w:rsidP="006962F7">
            <w:pPr>
              <w:jc w:val="center"/>
              <w:rPr>
                <w:rFonts w:cs="Times New Roman"/>
                <w:bCs/>
                <w:sz w:val="20"/>
                <w:szCs w:val="20"/>
              </w:rPr>
            </w:pPr>
            <w:r w:rsidRPr="0088624C">
              <w:rPr>
                <w:rFonts w:cs="Times New Roman"/>
                <w:bCs/>
                <w:sz w:val="20"/>
                <w:szCs w:val="20"/>
              </w:rPr>
              <w:t>antrum</w:t>
            </w:r>
            <w:r w:rsidR="000A0AEB" w:rsidRPr="0088624C">
              <w:rPr>
                <w:rFonts w:cs="Times New Roman"/>
                <w:bCs/>
                <w:sz w:val="20"/>
                <w:szCs w:val="20"/>
              </w:rPr>
              <w:t xml:space="preserve"> i</w:t>
            </w:r>
            <w:r w:rsidRPr="0088624C">
              <w:rPr>
                <w:rFonts w:cs="Times New Roman"/>
                <w:bCs/>
                <w:sz w:val="20"/>
                <w:szCs w:val="20"/>
              </w:rPr>
              <w:t xml:space="preserve"> korpus</w:t>
            </w:r>
          </w:p>
        </w:tc>
      </w:tr>
    </w:tbl>
    <w:p w:rsidR="005538F7" w:rsidRPr="0088624C" w:rsidRDefault="005538F7" w:rsidP="0073138B">
      <w:pPr>
        <w:rPr>
          <w:rFonts w:cs="Times New Roman"/>
          <w:bCs/>
          <w:sz w:val="20"/>
          <w:szCs w:val="20"/>
        </w:rPr>
      </w:pPr>
    </w:p>
    <w:p w:rsidR="00C47C5C" w:rsidRDefault="009C7568" w:rsidP="008F28A5">
      <w:pPr>
        <w:tabs>
          <w:tab w:val="left" w:pos="2450"/>
        </w:tabs>
        <w:spacing w:line="360" w:lineRule="auto"/>
        <w:jc w:val="both"/>
        <w:rPr>
          <w:rFonts w:cs="Times New Roman"/>
          <w:bCs/>
          <w:sz w:val="20"/>
          <w:szCs w:val="20"/>
        </w:rPr>
      </w:pPr>
      <w:r w:rsidRPr="009C7568">
        <w:rPr>
          <w:rFonts w:cs="Times New Roman"/>
          <w:bCs/>
          <w:sz w:val="20"/>
          <w:szCs w:val="20"/>
        </w:rPr>
        <w:lastRenderedPageBreak/>
        <w:t xml:space="preserve">U ovom istraživanju analizirano je 19 uzoraka difuznih karcinoma želuca i 19 uzorak kontrolnog netumorskog </w:t>
      </w:r>
      <w:r w:rsidR="0033631E">
        <w:rPr>
          <w:rFonts w:cs="Times New Roman"/>
          <w:bCs/>
          <w:sz w:val="20"/>
          <w:szCs w:val="20"/>
        </w:rPr>
        <w:t>tkiva. U skupini ispitanika s di</w:t>
      </w:r>
      <w:r w:rsidRPr="009C7568">
        <w:rPr>
          <w:rFonts w:cs="Times New Roman"/>
          <w:bCs/>
          <w:sz w:val="20"/>
          <w:szCs w:val="20"/>
        </w:rPr>
        <w:t>fuznim karcinomima želuca bilo je 13 (68.4%) muška</w:t>
      </w:r>
      <w:r w:rsidR="00023D2C">
        <w:rPr>
          <w:rFonts w:cs="Times New Roman"/>
          <w:bCs/>
          <w:sz w:val="20"/>
          <w:szCs w:val="20"/>
        </w:rPr>
        <w:t xml:space="preserve">raca i 6 (31.6%) žena. Srednja dob±standardna devijacija bila je </w:t>
      </w:r>
      <w:r w:rsidR="00023D2C" w:rsidRPr="00023D2C">
        <w:rPr>
          <w:rFonts w:cs="Times New Roman"/>
          <w:bCs/>
          <w:sz w:val="20"/>
          <w:szCs w:val="20"/>
        </w:rPr>
        <w:t>68.47±12.438</w:t>
      </w:r>
      <w:r w:rsidR="00023D2C">
        <w:rPr>
          <w:rFonts w:cs="Times New Roman"/>
          <w:bCs/>
          <w:sz w:val="20"/>
          <w:szCs w:val="20"/>
        </w:rPr>
        <w:t xml:space="preserve"> godina. </w:t>
      </w:r>
      <w:r w:rsidRPr="009C7568">
        <w:rPr>
          <w:rFonts w:cs="Times New Roman"/>
          <w:bCs/>
          <w:sz w:val="20"/>
          <w:szCs w:val="20"/>
        </w:rPr>
        <w:t xml:space="preserve">U kontrolnoj je skupini bilo 10 (52.6%) </w:t>
      </w:r>
      <w:r w:rsidR="0033631E">
        <w:rPr>
          <w:rFonts w:cs="Times New Roman"/>
          <w:bCs/>
          <w:sz w:val="20"/>
          <w:szCs w:val="20"/>
        </w:rPr>
        <w:t xml:space="preserve">muškaraca i </w:t>
      </w:r>
      <w:r w:rsidRPr="009C7568">
        <w:rPr>
          <w:rFonts w:cs="Times New Roman"/>
          <w:bCs/>
          <w:sz w:val="20"/>
          <w:szCs w:val="20"/>
        </w:rPr>
        <w:t>9 (47</w:t>
      </w:r>
      <w:r w:rsidR="00023D2C">
        <w:rPr>
          <w:rFonts w:cs="Times New Roman"/>
          <w:bCs/>
          <w:sz w:val="20"/>
          <w:szCs w:val="20"/>
        </w:rPr>
        <w:t>.4%).</w:t>
      </w:r>
      <w:r w:rsidR="00023D2C" w:rsidRPr="00023D2C">
        <w:t xml:space="preserve"> </w:t>
      </w:r>
      <w:r w:rsidR="00023D2C" w:rsidRPr="00023D2C">
        <w:rPr>
          <w:rFonts w:cs="Times New Roman"/>
          <w:bCs/>
          <w:sz w:val="20"/>
          <w:szCs w:val="20"/>
        </w:rPr>
        <w:t>Srednja dob±standardna devijacija bila je</w:t>
      </w:r>
      <w:r w:rsidR="00023D2C">
        <w:rPr>
          <w:rFonts w:cs="Times New Roman"/>
          <w:bCs/>
          <w:sz w:val="20"/>
          <w:szCs w:val="20"/>
        </w:rPr>
        <w:t xml:space="preserve"> </w:t>
      </w:r>
      <w:r w:rsidR="00023D2C" w:rsidRPr="00023D2C">
        <w:rPr>
          <w:rFonts w:cs="Times New Roman"/>
          <w:bCs/>
          <w:sz w:val="20"/>
          <w:szCs w:val="20"/>
        </w:rPr>
        <w:t>55.53±19.583</w:t>
      </w:r>
      <w:r w:rsidR="00023D2C">
        <w:rPr>
          <w:rFonts w:cs="Times New Roman"/>
          <w:bCs/>
          <w:sz w:val="20"/>
          <w:szCs w:val="20"/>
        </w:rPr>
        <w:t xml:space="preserve"> godina. </w:t>
      </w:r>
      <w:r w:rsidRPr="009C7568">
        <w:rPr>
          <w:rFonts w:cs="Times New Roman"/>
          <w:bCs/>
          <w:sz w:val="20"/>
          <w:szCs w:val="20"/>
        </w:rPr>
        <w:t>Nije bilo statistič</w:t>
      </w:r>
      <w:r w:rsidR="0033631E">
        <w:rPr>
          <w:rFonts w:cs="Times New Roman"/>
          <w:bCs/>
          <w:sz w:val="20"/>
          <w:szCs w:val="20"/>
        </w:rPr>
        <w:t>ki značajne razlike između dviju skupina</w:t>
      </w:r>
      <w:r w:rsidRPr="009C7568">
        <w:rPr>
          <w:rFonts w:cs="Times New Roman"/>
          <w:bCs/>
          <w:sz w:val="20"/>
          <w:szCs w:val="20"/>
        </w:rPr>
        <w:t xml:space="preserve"> uzoraka</w:t>
      </w:r>
      <w:r w:rsidR="0033631E">
        <w:rPr>
          <w:rFonts w:cs="Times New Roman"/>
          <w:bCs/>
          <w:sz w:val="20"/>
          <w:szCs w:val="20"/>
        </w:rPr>
        <w:t xml:space="preserve"> s obzirom na spol (χ</w:t>
      </w:r>
      <w:r w:rsidR="000B610E">
        <w:rPr>
          <w:rFonts w:ascii="Calibri" w:hAnsi="Calibri" w:cs="Times New Roman"/>
          <w:bCs/>
          <w:sz w:val="20"/>
          <w:szCs w:val="20"/>
        </w:rPr>
        <w:t>₂</w:t>
      </w:r>
      <w:r w:rsidR="0033631E">
        <w:rPr>
          <w:rFonts w:cs="Times New Roman"/>
          <w:bCs/>
          <w:sz w:val="20"/>
          <w:szCs w:val="20"/>
        </w:rPr>
        <w:t>-</w:t>
      </w:r>
      <w:r w:rsidRPr="009C7568">
        <w:rPr>
          <w:rFonts w:cs="Times New Roman"/>
          <w:bCs/>
          <w:sz w:val="20"/>
          <w:szCs w:val="20"/>
        </w:rPr>
        <w:t>kvadrat =</w:t>
      </w:r>
      <w:r w:rsidR="00023D2C">
        <w:rPr>
          <w:rFonts w:cs="Times New Roman"/>
          <w:bCs/>
          <w:sz w:val="20"/>
          <w:szCs w:val="20"/>
        </w:rPr>
        <w:t xml:space="preserve"> 0.991</w:t>
      </w:r>
      <w:r w:rsidRPr="009C7568">
        <w:rPr>
          <w:rFonts w:cs="Times New Roman"/>
          <w:bCs/>
          <w:sz w:val="20"/>
          <w:szCs w:val="20"/>
        </w:rPr>
        <w:t>, df</w:t>
      </w:r>
      <w:r w:rsidR="00023D2C">
        <w:rPr>
          <w:rFonts w:cs="Times New Roman"/>
          <w:bCs/>
          <w:sz w:val="20"/>
          <w:szCs w:val="20"/>
        </w:rPr>
        <w:t xml:space="preserve"> </w:t>
      </w:r>
      <w:r w:rsidRPr="009C7568">
        <w:rPr>
          <w:rFonts w:cs="Times New Roman"/>
          <w:bCs/>
          <w:sz w:val="20"/>
          <w:szCs w:val="20"/>
        </w:rPr>
        <w:t>=</w:t>
      </w:r>
      <w:r w:rsidR="00023D2C">
        <w:rPr>
          <w:rFonts w:cs="Times New Roman"/>
          <w:bCs/>
          <w:sz w:val="20"/>
          <w:szCs w:val="20"/>
        </w:rPr>
        <w:t xml:space="preserve"> 1</w:t>
      </w:r>
      <w:r w:rsidRPr="009C7568">
        <w:rPr>
          <w:rFonts w:cs="Times New Roman"/>
          <w:bCs/>
          <w:sz w:val="20"/>
          <w:szCs w:val="20"/>
        </w:rPr>
        <w:t>, p</w:t>
      </w:r>
      <w:r w:rsidR="00023D2C">
        <w:rPr>
          <w:rFonts w:cs="Times New Roman"/>
          <w:bCs/>
          <w:sz w:val="20"/>
          <w:szCs w:val="20"/>
        </w:rPr>
        <w:t xml:space="preserve"> </w:t>
      </w:r>
      <w:r w:rsidRPr="009C7568">
        <w:rPr>
          <w:rFonts w:cs="Times New Roman"/>
          <w:bCs/>
          <w:sz w:val="20"/>
          <w:szCs w:val="20"/>
        </w:rPr>
        <w:t>=</w:t>
      </w:r>
      <w:r w:rsidR="00023D2C">
        <w:rPr>
          <w:rFonts w:cs="Times New Roman"/>
          <w:bCs/>
          <w:sz w:val="20"/>
          <w:szCs w:val="20"/>
        </w:rPr>
        <w:t>0.508</w:t>
      </w:r>
      <w:r w:rsidRPr="009C7568">
        <w:rPr>
          <w:rFonts w:cs="Times New Roman"/>
          <w:bCs/>
          <w:sz w:val="20"/>
          <w:szCs w:val="20"/>
        </w:rPr>
        <w:t xml:space="preserve">), ali je postojala statistički značajna razlika u rasponu godina </w:t>
      </w:r>
      <w:r w:rsidR="00023D2C">
        <w:rPr>
          <w:rFonts w:cs="Times New Roman"/>
          <w:bCs/>
          <w:sz w:val="20"/>
          <w:szCs w:val="20"/>
        </w:rPr>
        <w:t xml:space="preserve"> (</w:t>
      </w:r>
      <w:r w:rsidR="00E65C37">
        <w:rPr>
          <w:rFonts w:cs="Times New Roman"/>
          <w:bCs/>
          <w:sz w:val="20"/>
          <w:szCs w:val="20"/>
        </w:rPr>
        <w:t xml:space="preserve">nezavisni Student t-test: p = 0.02, </w:t>
      </w:r>
      <w:r w:rsidR="00E65C37" w:rsidRPr="00E65C37">
        <w:rPr>
          <w:rFonts w:cs="Times New Roman"/>
          <w:bCs/>
          <w:sz w:val="20"/>
          <w:szCs w:val="20"/>
        </w:rPr>
        <w:t>sve p vrijednosti su two-tailed exact values)</w:t>
      </w:r>
      <w:r w:rsidR="00E65C37">
        <w:rPr>
          <w:rFonts w:cs="Times New Roman"/>
          <w:bCs/>
          <w:sz w:val="20"/>
          <w:szCs w:val="20"/>
        </w:rPr>
        <w:t>.</w:t>
      </w:r>
    </w:p>
    <w:p w:rsidR="00821EE3" w:rsidRDefault="00821EE3" w:rsidP="008F28A5">
      <w:pPr>
        <w:tabs>
          <w:tab w:val="left" w:pos="2450"/>
        </w:tabs>
        <w:spacing w:line="360" w:lineRule="auto"/>
        <w:jc w:val="both"/>
        <w:rPr>
          <w:rFonts w:cs="Times New Roman"/>
          <w:bCs/>
          <w:sz w:val="20"/>
          <w:szCs w:val="20"/>
        </w:rPr>
      </w:pPr>
      <w:r>
        <w:rPr>
          <w:rFonts w:cs="Times New Roman"/>
          <w:bCs/>
          <w:sz w:val="20"/>
          <w:szCs w:val="20"/>
        </w:rPr>
        <w:t>Imunohistokemijskom analizom pokazana je ekspresija PTX3 proteina u citoplazmi i membrani.</w:t>
      </w:r>
      <w:r w:rsidR="00921A27">
        <w:rPr>
          <w:rFonts w:cs="Times New Roman"/>
          <w:bCs/>
          <w:sz w:val="20"/>
          <w:szCs w:val="20"/>
        </w:rPr>
        <w:t xml:space="preserve"> Slike 1. i 2. prikazuju kontrolno netumorsko tkivo, dok slike 3. i 4. prikazuju tkivo difuznog karcinoma želuca.</w:t>
      </w:r>
    </w:p>
    <w:p w:rsidR="00921A27" w:rsidRDefault="00821EE3" w:rsidP="008F28A5">
      <w:pPr>
        <w:keepNext/>
        <w:tabs>
          <w:tab w:val="left" w:pos="2450"/>
        </w:tabs>
        <w:spacing w:line="360" w:lineRule="auto"/>
        <w:jc w:val="both"/>
      </w:pPr>
      <w:r>
        <w:rPr>
          <w:rFonts w:cs="Times New Roman"/>
          <w:bCs/>
          <w:sz w:val="20"/>
          <w:szCs w:val="20"/>
        </w:rPr>
        <w:t xml:space="preserve">                                                                                           </w:t>
      </w:r>
      <w:r w:rsidR="00921A27">
        <w:rPr>
          <w:rFonts w:cs="Times New Roman"/>
          <w:bCs/>
          <w:sz w:val="20"/>
          <w:szCs w:val="20"/>
        </w:rPr>
        <w:t xml:space="preserve">                         </w:t>
      </w:r>
      <w:r>
        <w:rPr>
          <w:rFonts w:cs="Times New Roman"/>
          <w:bCs/>
          <w:sz w:val="20"/>
          <w:szCs w:val="20"/>
        </w:rPr>
        <w:t xml:space="preserve">                           </w:t>
      </w:r>
      <w:r w:rsidR="00921A27">
        <w:rPr>
          <w:rFonts w:cs="Times New Roman"/>
          <w:bCs/>
          <w:noProof/>
          <w:sz w:val="20"/>
          <w:szCs w:val="20"/>
          <w:lang w:eastAsia="hr-HR"/>
        </w:rPr>
        <w:t xml:space="preserve">               </w:t>
      </w:r>
      <w:r w:rsidR="00921A27">
        <w:rPr>
          <w:rFonts w:cs="Times New Roman"/>
          <w:bCs/>
          <w:noProof/>
          <w:sz w:val="20"/>
          <w:szCs w:val="20"/>
          <w:lang w:eastAsia="hr-HR"/>
        </w:rPr>
        <w:drawing>
          <wp:inline distT="0" distB="0" distL="0" distR="0" wp14:anchorId="1DF97698" wp14:editId="06476BA8">
            <wp:extent cx="4176000" cy="3240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41 N x10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000" cy="3240000"/>
                    </a:xfrm>
                    <a:prstGeom prst="rect">
                      <a:avLst/>
                    </a:prstGeom>
                  </pic:spPr>
                </pic:pic>
              </a:graphicData>
            </a:graphic>
          </wp:inline>
        </w:drawing>
      </w:r>
    </w:p>
    <w:p w:rsidR="00821EE3" w:rsidRPr="00921A27" w:rsidRDefault="00921A27" w:rsidP="00921A27">
      <w:pPr>
        <w:pStyle w:val="Caption"/>
        <w:jc w:val="both"/>
        <w:rPr>
          <w:b w:val="0"/>
          <w:color w:val="auto"/>
        </w:rPr>
      </w:pPr>
      <w:r w:rsidRPr="00921A27">
        <w:rPr>
          <w:b w:val="0"/>
          <w:color w:val="auto"/>
        </w:rPr>
        <w:t xml:space="preserve">Slika </w:t>
      </w:r>
      <w:r w:rsidRPr="00921A27">
        <w:rPr>
          <w:b w:val="0"/>
          <w:color w:val="auto"/>
        </w:rPr>
        <w:fldChar w:fldCharType="begin"/>
      </w:r>
      <w:r w:rsidRPr="00921A27">
        <w:rPr>
          <w:b w:val="0"/>
          <w:color w:val="auto"/>
        </w:rPr>
        <w:instrText xml:space="preserve"> SEQ Slika \* ARABIC </w:instrText>
      </w:r>
      <w:r w:rsidRPr="00921A27">
        <w:rPr>
          <w:b w:val="0"/>
          <w:color w:val="auto"/>
        </w:rPr>
        <w:fldChar w:fldCharType="separate"/>
      </w:r>
      <w:r w:rsidR="00B23F9B">
        <w:rPr>
          <w:b w:val="0"/>
          <w:noProof/>
          <w:color w:val="auto"/>
        </w:rPr>
        <w:t>1</w:t>
      </w:r>
      <w:r w:rsidRPr="00921A27">
        <w:rPr>
          <w:b w:val="0"/>
          <w:color w:val="auto"/>
        </w:rPr>
        <w:fldChar w:fldCharType="end"/>
      </w:r>
      <w:r w:rsidRPr="00921A27">
        <w:rPr>
          <w:b w:val="0"/>
          <w:color w:val="auto"/>
        </w:rPr>
        <w:t>.</w:t>
      </w:r>
      <w:r>
        <w:rPr>
          <w:b w:val="0"/>
          <w:color w:val="auto"/>
        </w:rPr>
        <w:t xml:space="preserve"> </w:t>
      </w:r>
      <w:r w:rsidR="00E12B98">
        <w:rPr>
          <w:b w:val="0"/>
          <w:color w:val="auto"/>
        </w:rPr>
        <w:t xml:space="preserve">Izraženost proteina </w:t>
      </w:r>
      <w:proofErr w:type="spellStart"/>
      <w:r w:rsidR="00E12B98">
        <w:rPr>
          <w:b w:val="0"/>
          <w:color w:val="auto"/>
        </w:rPr>
        <w:t>pentraxin</w:t>
      </w:r>
      <w:proofErr w:type="spellEnd"/>
      <w:r w:rsidR="00E12B98">
        <w:rPr>
          <w:b w:val="0"/>
          <w:color w:val="auto"/>
        </w:rPr>
        <w:t xml:space="preserve"> 3 u </w:t>
      </w:r>
      <w:proofErr w:type="spellStart"/>
      <w:r w:rsidR="00E12B98">
        <w:rPr>
          <w:b w:val="0"/>
          <w:color w:val="auto"/>
        </w:rPr>
        <w:t>netumorskom</w:t>
      </w:r>
      <w:proofErr w:type="spellEnd"/>
      <w:r w:rsidR="00E12B98">
        <w:rPr>
          <w:b w:val="0"/>
          <w:color w:val="auto"/>
        </w:rPr>
        <w:t xml:space="preserve"> tkivu, povećanje 100x</w:t>
      </w:r>
    </w:p>
    <w:p w:rsidR="00921A27" w:rsidRDefault="00821EE3" w:rsidP="00921A27">
      <w:pPr>
        <w:keepNext/>
        <w:tabs>
          <w:tab w:val="left" w:pos="2450"/>
        </w:tabs>
        <w:jc w:val="both"/>
      </w:pPr>
      <w:r>
        <w:rPr>
          <w:rFonts w:cs="Times New Roman"/>
          <w:bCs/>
          <w:sz w:val="20"/>
          <w:szCs w:val="20"/>
        </w:rPr>
        <w:lastRenderedPageBreak/>
        <w:t xml:space="preserve">  </w:t>
      </w:r>
      <w:r w:rsidR="00921A27">
        <w:rPr>
          <w:rFonts w:cs="Times New Roman"/>
          <w:bCs/>
          <w:noProof/>
          <w:sz w:val="20"/>
          <w:szCs w:val="20"/>
          <w:lang w:eastAsia="hr-HR"/>
        </w:rPr>
        <w:drawing>
          <wp:inline distT="0" distB="0" distL="0" distR="0" wp14:anchorId="770627C5" wp14:editId="42309C63">
            <wp:extent cx="4305600" cy="324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912 N x40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5600" cy="3240000"/>
                    </a:xfrm>
                    <a:prstGeom prst="rect">
                      <a:avLst/>
                    </a:prstGeom>
                  </pic:spPr>
                </pic:pic>
              </a:graphicData>
            </a:graphic>
          </wp:inline>
        </w:drawing>
      </w:r>
    </w:p>
    <w:p w:rsidR="00821EE3" w:rsidRPr="00921A27" w:rsidRDefault="00921A27" w:rsidP="00921A27">
      <w:pPr>
        <w:pStyle w:val="Caption"/>
        <w:jc w:val="both"/>
        <w:rPr>
          <w:rFonts w:cs="Times New Roman"/>
          <w:b w:val="0"/>
          <w:bCs w:val="0"/>
          <w:color w:val="auto"/>
          <w:sz w:val="20"/>
          <w:szCs w:val="20"/>
        </w:rPr>
      </w:pPr>
      <w:r w:rsidRPr="00921A27">
        <w:rPr>
          <w:b w:val="0"/>
          <w:color w:val="auto"/>
        </w:rPr>
        <w:t xml:space="preserve">Slika </w:t>
      </w:r>
      <w:r w:rsidRPr="00921A27">
        <w:rPr>
          <w:b w:val="0"/>
          <w:color w:val="auto"/>
        </w:rPr>
        <w:fldChar w:fldCharType="begin"/>
      </w:r>
      <w:r w:rsidRPr="00921A27">
        <w:rPr>
          <w:b w:val="0"/>
          <w:color w:val="auto"/>
        </w:rPr>
        <w:instrText xml:space="preserve"> SEQ Slika \* ARABIC </w:instrText>
      </w:r>
      <w:r w:rsidRPr="00921A27">
        <w:rPr>
          <w:b w:val="0"/>
          <w:color w:val="auto"/>
        </w:rPr>
        <w:fldChar w:fldCharType="separate"/>
      </w:r>
      <w:r w:rsidR="00B23F9B">
        <w:rPr>
          <w:b w:val="0"/>
          <w:noProof/>
          <w:color w:val="auto"/>
        </w:rPr>
        <w:t>2</w:t>
      </w:r>
      <w:r w:rsidRPr="00921A27">
        <w:rPr>
          <w:b w:val="0"/>
          <w:color w:val="auto"/>
        </w:rPr>
        <w:fldChar w:fldCharType="end"/>
      </w:r>
      <w:r w:rsidRPr="00921A27">
        <w:rPr>
          <w:b w:val="0"/>
          <w:color w:val="auto"/>
        </w:rPr>
        <w:t>.</w:t>
      </w:r>
      <w:r>
        <w:rPr>
          <w:b w:val="0"/>
          <w:color w:val="auto"/>
        </w:rPr>
        <w:t xml:space="preserve"> </w:t>
      </w:r>
      <w:r w:rsidR="00E12B98" w:rsidRPr="00E12B98">
        <w:rPr>
          <w:b w:val="0"/>
          <w:color w:val="auto"/>
        </w:rPr>
        <w:t xml:space="preserve">Izraženost proteina </w:t>
      </w:r>
      <w:proofErr w:type="spellStart"/>
      <w:r w:rsidR="00E12B98" w:rsidRPr="00E12B98">
        <w:rPr>
          <w:b w:val="0"/>
          <w:color w:val="auto"/>
        </w:rPr>
        <w:t>pentraxin</w:t>
      </w:r>
      <w:proofErr w:type="spellEnd"/>
      <w:r w:rsidR="00E12B98" w:rsidRPr="00E12B98">
        <w:rPr>
          <w:b w:val="0"/>
          <w:color w:val="auto"/>
        </w:rPr>
        <w:t xml:space="preserve"> 3 u </w:t>
      </w:r>
      <w:proofErr w:type="spellStart"/>
      <w:r w:rsidR="00E12B98" w:rsidRPr="00E12B98">
        <w:rPr>
          <w:b w:val="0"/>
          <w:color w:val="auto"/>
        </w:rPr>
        <w:t>netumorskom</w:t>
      </w:r>
      <w:proofErr w:type="spellEnd"/>
      <w:r w:rsidR="00E12B98" w:rsidRPr="00E12B98">
        <w:rPr>
          <w:b w:val="0"/>
          <w:color w:val="auto"/>
        </w:rPr>
        <w:t xml:space="preserve"> tkivu, povećanje </w:t>
      </w:r>
      <w:r w:rsidR="00E12B98">
        <w:rPr>
          <w:b w:val="0"/>
          <w:color w:val="auto"/>
        </w:rPr>
        <w:t>400</w:t>
      </w:r>
      <w:r w:rsidR="00E12B98" w:rsidRPr="00E12B98">
        <w:rPr>
          <w:b w:val="0"/>
          <w:color w:val="auto"/>
        </w:rPr>
        <w:t>x</w:t>
      </w:r>
    </w:p>
    <w:p w:rsidR="00C47C5C" w:rsidRPr="0088624C" w:rsidRDefault="00C47C5C" w:rsidP="00E152B3">
      <w:pPr>
        <w:tabs>
          <w:tab w:val="left" w:pos="2450"/>
        </w:tabs>
        <w:rPr>
          <w:rFonts w:cs="Times New Roman"/>
          <w:bCs/>
          <w:sz w:val="20"/>
          <w:szCs w:val="20"/>
        </w:rPr>
      </w:pPr>
    </w:p>
    <w:p w:rsidR="00921A27" w:rsidRDefault="00921A27" w:rsidP="00921A27">
      <w:pPr>
        <w:keepNext/>
        <w:tabs>
          <w:tab w:val="left" w:pos="2450"/>
        </w:tabs>
      </w:pPr>
      <w:r>
        <w:rPr>
          <w:rFonts w:cs="Times New Roman"/>
          <w:bCs/>
          <w:noProof/>
          <w:sz w:val="20"/>
          <w:szCs w:val="20"/>
          <w:lang w:eastAsia="hr-HR"/>
        </w:rPr>
        <w:drawing>
          <wp:inline distT="0" distB="0" distL="0" distR="0" wp14:anchorId="5FD2AB50" wp14:editId="30030B42">
            <wp:extent cx="4305600" cy="324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36_10 5 T x4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05600" cy="3240000"/>
                    </a:xfrm>
                    <a:prstGeom prst="rect">
                      <a:avLst/>
                    </a:prstGeom>
                  </pic:spPr>
                </pic:pic>
              </a:graphicData>
            </a:graphic>
          </wp:inline>
        </w:drawing>
      </w:r>
    </w:p>
    <w:p w:rsidR="00C47C5C" w:rsidRDefault="00921A27" w:rsidP="00921A27">
      <w:pPr>
        <w:pStyle w:val="Caption"/>
        <w:rPr>
          <w:b w:val="0"/>
          <w:color w:val="auto"/>
        </w:rPr>
      </w:pPr>
      <w:r w:rsidRPr="00921A27">
        <w:rPr>
          <w:b w:val="0"/>
          <w:color w:val="auto"/>
        </w:rPr>
        <w:t xml:space="preserve">Slika </w:t>
      </w:r>
      <w:r w:rsidRPr="00921A27">
        <w:rPr>
          <w:b w:val="0"/>
          <w:color w:val="auto"/>
        </w:rPr>
        <w:fldChar w:fldCharType="begin"/>
      </w:r>
      <w:r w:rsidRPr="00921A27">
        <w:rPr>
          <w:b w:val="0"/>
          <w:color w:val="auto"/>
        </w:rPr>
        <w:instrText xml:space="preserve"> SEQ Slika \* ARABIC </w:instrText>
      </w:r>
      <w:r w:rsidRPr="00921A27">
        <w:rPr>
          <w:b w:val="0"/>
          <w:color w:val="auto"/>
        </w:rPr>
        <w:fldChar w:fldCharType="separate"/>
      </w:r>
      <w:r w:rsidR="00B23F9B">
        <w:rPr>
          <w:b w:val="0"/>
          <w:noProof/>
          <w:color w:val="auto"/>
        </w:rPr>
        <w:t>3</w:t>
      </w:r>
      <w:r w:rsidRPr="00921A27">
        <w:rPr>
          <w:b w:val="0"/>
          <w:color w:val="auto"/>
        </w:rPr>
        <w:fldChar w:fldCharType="end"/>
      </w:r>
      <w:r w:rsidRPr="00921A27">
        <w:rPr>
          <w:b w:val="0"/>
          <w:color w:val="auto"/>
        </w:rPr>
        <w:t>.</w:t>
      </w:r>
      <w:r>
        <w:rPr>
          <w:b w:val="0"/>
          <w:color w:val="auto"/>
        </w:rPr>
        <w:t xml:space="preserve"> </w:t>
      </w:r>
      <w:r w:rsidR="00E12B98" w:rsidRPr="00E12B98">
        <w:rPr>
          <w:b w:val="0"/>
          <w:color w:val="auto"/>
        </w:rPr>
        <w:t>Izražen</w:t>
      </w:r>
      <w:r w:rsidR="00E12B98">
        <w:rPr>
          <w:b w:val="0"/>
          <w:color w:val="auto"/>
        </w:rPr>
        <w:t xml:space="preserve">ost proteina </w:t>
      </w:r>
      <w:proofErr w:type="spellStart"/>
      <w:r w:rsidR="00E12B98">
        <w:rPr>
          <w:b w:val="0"/>
          <w:color w:val="auto"/>
        </w:rPr>
        <w:t>pentraxin</w:t>
      </w:r>
      <w:proofErr w:type="spellEnd"/>
      <w:r w:rsidR="00E12B98">
        <w:rPr>
          <w:b w:val="0"/>
          <w:color w:val="auto"/>
        </w:rPr>
        <w:t xml:space="preserve"> 3 u </w:t>
      </w:r>
      <w:r w:rsidR="00E12B98" w:rsidRPr="00E12B98">
        <w:rPr>
          <w:b w:val="0"/>
          <w:color w:val="auto"/>
        </w:rPr>
        <w:t xml:space="preserve">tumorskom tkivu, povećanje </w:t>
      </w:r>
      <w:r w:rsidR="00E12B98">
        <w:rPr>
          <w:b w:val="0"/>
          <w:color w:val="auto"/>
        </w:rPr>
        <w:t>400</w:t>
      </w:r>
      <w:r w:rsidR="00E12B98" w:rsidRPr="00E12B98">
        <w:rPr>
          <w:b w:val="0"/>
          <w:color w:val="auto"/>
        </w:rPr>
        <w:t>x</w:t>
      </w:r>
    </w:p>
    <w:p w:rsidR="00921A27" w:rsidRDefault="00921A27" w:rsidP="00921A27"/>
    <w:p w:rsidR="00921A27" w:rsidRDefault="00B75A47" w:rsidP="00921A27">
      <w:pPr>
        <w:keepNext/>
      </w:pPr>
      <w:r>
        <w:rPr>
          <w:noProof/>
          <w:lang w:eastAsia="hr-HR"/>
        </w:rPr>
        <w:lastRenderedPageBreak/>
        <w:drawing>
          <wp:inline distT="0" distB="0" distL="0" distR="0">
            <wp:extent cx="4784400" cy="360000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09_12 8 x100 T i uredne žlijezd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4400" cy="3600000"/>
                    </a:xfrm>
                    <a:prstGeom prst="rect">
                      <a:avLst/>
                    </a:prstGeom>
                  </pic:spPr>
                </pic:pic>
              </a:graphicData>
            </a:graphic>
          </wp:inline>
        </w:drawing>
      </w:r>
    </w:p>
    <w:p w:rsidR="00E12B98" w:rsidRPr="00E12B98" w:rsidRDefault="00921A27" w:rsidP="00E12B98">
      <w:pPr>
        <w:pStyle w:val="Caption"/>
        <w:rPr>
          <w:b w:val="0"/>
          <w:color w:val="auto"/>
        </w:rPr>
      </w:pPr>
      <w:r w:rsidRPr="00921A27">
        <w:rPr>
          <w:b w:val="0"/>
          <w:color w:val="auto"/>
        </w:rPr>
        <w:t xml:space="preserve">Slika </w:t>
      </w:r>
      <w:r w:rsidRPr="00921A27">
        <w:rPr>
          <w:b w:val="0"/>
          <w:color w:val="auto"/>
        </w:rPr>
        <w:fldChar w:fldCharType="begin"/>
      </w:r>
      <w:r w:rsidRPr="00921A27">
        <w:rPr>
          <w:b w:val="0"/>
          <w:color w:val="auto"/>
        </w:rPr>
        <w:instrText xml:space="preserve"> SEQ Slika \* ARABIC </w:instrText>
      </w:r>
      <w:r w:rsidRPr="00921A27">
        <w:rPr>
          <w:b w:val="0"/>
          <w:color w:val="auto"/>
        </w:rPr>
        <w:fldChar w:fldCharType="separate"/>
      </w:r>
      <w:r w:rsidR="00B23F9B">
        <w:rPr>
          <w:b w:val="0"/>
          <w:noProof/>
          <w:color w:val="auto"/>
        </w:rPr>
        <w:t>4</w:t>
      </w:r>
      <w:r w:rsidRPr="00921A27">
        <w:rPr>
          <w:b w:val="0"/>
          <w:color w:val="auto"/>
        </w:rPr>
        <w:fldChar w:fldCharType="end"/>
      </w:r>
      <w:r w:rsidRPr="00921A27">
        <w:rPr>
          <w:b w:val="0"/>
          <w:color w:val="auto"/>
        </w:rPr>
        <w:t>.</w:t>
      </w:r>
      <w:r w:rsidR="00B75A47" w:rsidRPr="00B75A47">
        <w:t xml:space="preserve"> </w:t>
      </w:r>
      <w:r w:rsidR="00E12B98" w:rsidRPr="00E12B98">
        <w:rPr>
          <w:b w:val="0"/>
          <w:color w:val="auto"/>
        </w:rPr>
        <w:t>Izra</w:t>
      </w:r>
      <w:r w:rsidR="00E12B98">
        <w:rPr>
          <w:b w:val="0"/>
          <w:color w:val="auto"/>
        </w:rPr>
        <w:t xml:space="preserve">ženost proteina </w:t>
      </w:r>
      <w:proofErr w:type="spellStart"/>
      <w:r w:rsidR="00E12B98">
        <w:rPr>
          <w:b w:val="0"/>
          <w:color w:val="auto"/>
        </w:rPr>
        <w:t>pentraxin</w:t>
      </w:r>
      <w:proofErr w:type="spellEnd"/>
      <w:r w:rsidR="00E12B98">
        <w:rPr>
          <w:b w:val="0"/>
          <w:color w:val="auto"/>
        </w:rPr>
        <w:t xml:space="preserve"> 3 u </w:t>
      </w:r>
      <w:r w:rsidR="00E12B98" w:rsidRPr="00E12B98">
        <w:rPr>
          <w:b w:val="0"/>
          <w:color w:val="auto"/>
        </w:rPr>
        <w:t>tumorskom tkivu, povećanje 100x</w:t>
      </w:r>
      <w:r w:rsidR="00E12B98">
        <w:rPr>
          <w:b w:val="0"/>
          <w:color w:val="auto"/>
        </w:rPr>
        <w:t>. Strjelica prikazuje zdravo tkivo na granici s tumorskim</w:t>
      </w:r>
      <w:r w:rsidR="001C5792">
        <w:rPr>
          <w:b w:val="0"/>
          <w:color w:val="auto"/>
        </w:rPr>
        <w:t xml:space="preserve"> tkivom gdje se vidi smanjena izraženost proteina </w:t>
      </w:r>
      <w:proofErr w:type="spellStart"/>
      <w:r w:rsidR="001C5792">
        <w:rPr>
          <w:b w:val="0"/>
          <w:color w:val="auto"/>
        </w:rPr>
        <w:t>pentraxin</w:t>
      </w:r>
      <w:proofErr w:type="spellEnd"/>
      <w:r w:rsidR="001C5792">
        <w:rPr>
          <w:b w:val="0"/>
          <w:color w:val="auto"/>
        </w:rPr>
        <w:t xml:space="preserve"> 3 u odnosu na tumor</w:t>
      </w:r>
    </w:p>
    <w:p w:rsidR="009750D6" w:rsidRDefault="009750D6" w:rsidP="00E152B3">
      <w:pPr>
        <w:tabs>
          <w:tab w:val="left" w:pos="2450"/>
        </w:tabs>
        <w:rPr>
          <w:rFonts w:cs="Times New Roman"/>
          <w:bCs/>
          <w:sz w:val="20"/>
          <w:szCs w:val="20"/>
        </w:rPr>
      </w:pPr>
    </w:p>
    <w:p w:rsidR="009750D6" w:rsidRDefault="009750D6" w:rsidP="00E152B3">
      <w:pPr>
        <w:tabs>
          <w:tab w:val="left" w:pos="2450"/>
        </w:tabs>
        <w:rPr>
          <w:rFonts w:cs="Times New Roman"/>
          <w:bCs/>
          <w:sz w:val="20"/>
          <w:szCs w:val="20"/>
        </w:rPr>
      </w:pPr>
    </w:p>
    <w:p w:rsidR="00A70FC4" w:rsidRPr="0088624C" w:rsidRDefault="009538C5" w:rsidP="00E152B3">
      <w:pPr>
        <w:tabs>
          <w:tab w:val="left" w:pos="2450"/>
        </w:tabs>
        <w:rPr>
          <w:rFonts w:cs="Times New Roman"/>
          <w:bCs/>
          <w:sz w:val="20"/>
          <w:szCs w:val="20"/>
        </w:rPr>
      </w:pPr>
      <w:r w:rsidRPr="0088624C">
        <w:rPr>
          <w:rFonts w:cs="Times New Roman"/>
          <w:bCs/>
          <w:sz w:val="20"/>
          <w:szCs w:val="20"/>
        </w:rPr>
        <w:t>Rezultate analize</w:t>
      </w:r>
      <w:r w:rsidR="00A70FC4" w:rsidRPr="0088624C">
        <w:rPr>
          <w:rFonts w:cs="Times New Roman"/>
          <w:bCs/>
          <w:sz w:val="20"/>
          <w:szCs w:val="20"/>
        </w:rPr>
        <w:t xml:space="preserve"> imunohistokemijske reakcije obzirom na intenzitet bojenja (</w:t>
      </w:r>
      <w:r w:rsidR="00824773">
        <w:rPr>
          <w:rFonts w:cs="Times New Roman"/>
          <w:bCs/>
          <w:sz w:val="20"/>
          <w:szCs w:val="20"/>
        </w:rPr>
        <w:t>SI, engl. staining intensity) prikazuju</w:t>
      </w:r>
      <w:r w:rsidRPr="0088624C">
        <w:rPr>
          <w:rFonts w:cs="Times New Roman"/>
          <w:bCs/>
          <w:sz w:val="20"/>
          <w:szCs w:val="20"/>
        </w:rPr>
        <w:t xml:space="preserve"> Tablica 3. i Slika</w:t>
      </w:r>
      <w:r w:rsidR="008E2F42">
        <w:rPr>
          <w:rFonts w:cs="Times New Roman"/>
          <w:bCs/>
          <w:sz w:val="20"/>
          <w:szCs w:val="20"/>
        </w:rPr>
        <w:t xml:space="preserve"> </w:t>
      </w:r>
      <w:r w:rsidR="007751CF">
        <w:rPr>
          <w:rFonts w:cs="Times New Roman"/>
          <w:bCs/>
          <w:sz w:val="20"/>
          <w:szCs w:val="20"/>
        </w:rPr>
        <w:t>5</w:t>
      </w:r>
      <w:r w:rsidRPr="0088624C">
        <w:rPr>
          <w:rFonts w:cs="Times New Roman"/>
          <w:bCs/>
          <w:sz w:val="20"/>
          <w:szCs w:val="20"/>
        </w:rPr>
        <w:t xml:space="preserve">. </w:t>
      </w:r>
    </w:p>
    <w:p w:rsidR="00C47C5C" w:rsidRPr="0088624C" w:rsidRDefault="00C47C5C" w:rsidP="00CC392F">
      <w:pPr>
        <w:pStyle w:val="Caption"/>
        <w:keepNext/>
        <w:rPr>
          <w:rFonts w:cs="Times New Roman"/>
          <w:b w:val="0"/>
          <w:color w:val="auto"/>
          <w:sz w:val="20"/>
          <w:szCs w:val="20"/>
        </w:rPr>
      </w:pPr>
    </w:p>
    <w:p w:rsidR="00A70FC4" w:rsidRPr="0088624C" w:rsidRDefault="00A70FC4" w:rsidP="00CC392F">
      <w:pPr>
        <w:pStyle w:val="Caption"/>
        <w:keepNext/>
        <w:rPr>
          <w:b w:val="0"/>
          <w:color w:val="auto"/>
          <w:sz w:val="20"/>
          <w:szCs w:val="20"/>
        </w:rPr>
      </w:pPr>
      <w:r w:rsidRPr="0088624C">
        <w:rPr>
          <w:b w:val="0"/>
          <w:color w:val="auto"/>
          <w:sz w:val="20"/>
          <w:szCs w:val="20"/>
        </w:rPr>
        <w:t>Tablica 3.</w:t>
      </w:r>
    </w:p>
    <w:tbl>
      <w:tblPr>
        <w:tblStyle w:val="TableGrid"/>
        <w:tblW w:w="0" w:type="auto"/>
        <w:tblLook w:val="04A0" w:firstRow="1" w:lastRow="0" w:firstColumn="1" w:lastColumn="0" w:noHBand="0" w:noVBand="1"/>
      </w:tblPr>
      <w:tblGrid>
        <w:gridCol w:w="2034"/>
        <w:gridCol w:w="1841"/>
        <w:gridCol w:w="1928"/>
        <w:gridCol w:w="1688"/>
        <w:gridCol w:w="1797"/>
      </w:tblGrid>
      <w:tr w:rsidR="00BD0B18" w:rsidRPr="0088624C" w:rsidTr="00BD0B18">
        <w:tc>
          <w:tcPr>
            <w:tcW w:w="2034" w:type="dxa"/>
          </w:tcPr>
          <w:p w:rsidR="00BD0B18" w:rsidRPr="0088624C" w:rsidRDefault="00BD0B18" w:rsidP="00E152B3">
            <w:pPr>
              <w:tabs>
                <w:tab w:val="left" w:pos="2450"/>
              </w:tabs>
              <w:rPr>
                <w:rFonts w:cs="Times New Roman"/>
                <w:bCs/>
                <w:sz w:val="20"/>
                <w:szCs w:val="20"/>
              </w:rPr>
            </w:pPr>
            <w:r w:rsidRPr="0088624C">
              <w:rPr>
                <w:rFonts w:cs="Times New Roman"/>
                <w:bCs/>
                <w:sz w:val="20"/>
                <w:szCs w:val="20"/>
              </w:rPr>
              <w:t>INTENZITET OBOJENJA (SI)</w:t>
            </w:r>
          </w:p>
        </w:tc>
        <w:tc>
          <w:tcPr>
            <w:tcW w:w="1841" w:type="dxa"/>
          </w:tcPr>
          <w:p w:rsidR="00BD0B18" w:rsidRPr="0088624C" w:rsidRDefault="00BD0B18" w:rsidP="00E152B3">
            <w:pPr>
              <w:tabs>
                <w:tab w:val="left" w:pos="2450"/>
              </w:tabs>
              <w:rPr>
                <w:rFonts w:cs="Times New Roman"/>
                <w:bCs/>
                <w:sz w:val="20"/>
                <w:szCs w:val="20"/>
              </w:rPr>
            </w:pPr>
            <w:r w:rsidRPr="0088624C">
              <w:rPr>
                <w:rFonts w:cs="Times New Roman"/>
                <w:bCs/>
                <w:sz w:val="20"/>
                <w:szCs w:val="20"/>
              </w:rPr>
              <w:t>SLAB</w:t>
            </w:r>
          </w:p>
        </w:tc>
        <w:tc>
          <w:tcPr>
            <w:tcW w:w="1928" w:type="dxa"/>
          </w:tcPr>
          <w:p w:rsidR="00BD0B18" w:rsidRPr="0088624C" w:rsidRDefault="00061C8F" w:rsidP="00E152B3">
            <w:pPr>
              <w:tabs>
                <w:tab w:val="left" w:pos="2450"/>
              </w:tabs>
              <w:rPr>
                <w:rFonts w:cs="Times New Roman"/>
                <w:bCs/>
                <w:sz w:val="20"/>
                <w:szCs w:val="20"/>
              </w:rPr>
            </w:pPr>
            <w:r>
              <w:rPr>
                <w:rFonts w:cs="Times New Roman"/>
                <w:bCs/>
                <w:sz w:val="20"/>
                <w:szCs w:val="20"/>
              </w:rPr>
              <w:t>UMJEREN</w:t>
            </w:r>
          </w:p>
        </w:tc>
        <w:tc>
          <w:tcPr>
            <w:tcW w:w="1688" w:type="dxa"/>
          </w:tcPr>
          <w:p w:rsidR="00BD0B18" w:rsidRPr="0088624C" w:rsidRDefault="00BD0B18" w:rsidP="00E152B3">
            <w:pPr>
              <w:tabs>
                <w:tab w:val="left" w:pos="2450"/>
              </w:tabs>
              <w:rPr>
                <w:rFonts w:cs="Times New Roman"/>
                <w:bCs/>
                <w:sz w:val="20"/>
                <w:szCs w:val="20"/>
              </w:rPr>
            </w:pPr>
            <w:r>
              <w:rPr>
                <w:rFonts w:cs="Times New Roman"/>
                <w:bCs/>
                <w:sz w:val="20"/>
                <w:szCs w:val="20"/>
              </w:rPr>
              <w:t>JAK</w:t>
            </w:r>
          </w:p>
        </w:tc>
        <w:tc>
          <w:tcPr>
            <w:tcW w:w="1797" w:type="dxa"/>
          </w:tcPr>
          <w:p w:rsidR="00BD0B18" w:rsidRPr="0088624C" w:rsidRDefault="00061C8F" w:rsidP="00E152B3">
            <w:pPr>
              <w:tabs>
                <w:tab w:val="left" w:pos="2450"/>
              </w:tabs>
              <w:rPr>
                <w:rFonts w:cs="Times New Roman"/>
                <w:bCs/>
                <w:sz w:val="20"/>
                <w:szCs w:val="20"/>
              </w:rPr>
            </w:pPr>
            <w:r>
              <w:rPr>
                <w:rFonts w:cs="Times New Roman"/>
                <w:bCs/>
                <w:sz w:val="20"/>
                <w:szCs w:val="20"/>
              </w:rPr>
              <w:t>p</w:t>
            </w:r>
          </w:p>
        </w:tc>
      </w:tr>
      <w:tr w:rsidR="00061C8F" w:rsidRPr="0088624C" w:rsidTr="00BD0B18">
        <w:tc>
          <w:tcPr>
            <w:tcW w:w="2034"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TUMOR</w:t>
            </w:r>
            <w:r>
              <w:rPr>
                <w:rFonts w:cs="Times New Roman"/>
                <w:bCs/>
                <w:sz w:val="20"/>
                <w:szCs w:val="20"/>
              </w:rPr>
              <w:t>, n (%)</w:t>
            </w:r>
          </w:p>
        </w:tc>
        <w:tc>
          <w:tcPr>
            <w:tcW w:w="1841"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1</w:t>
            </w:r>
            <w:r>
              <w:rPr>
                <w:rFonts w:cs="Times New Roman"/>
                <w:bCs/>
                <w:sz w:val="20"/>
                <w:szCs w:val="20"/>
              </w:rPr>
              <w:t xml:space="preserve"> (</w:t>
            </w:r>
            <w:r w:rsidRPr="00061C8F">
              <w:rPr>
                <w:rFonts w:cs="Times New Roman"/>
                <w:bCs/>
                <w:sz w:val="20"/>
                <w:szCs w:val="20"/>
              </w:rPr>
              <w:t>5.3%</w:t>
            </w:r>
            <w:r>
              <w:rPr>
                <w:rFonts w:cs="Times New Roman"/>
                <w:bCs/>
                <w:sz w:val="20"/>
                <w:szCs w:val="20"/>
              </w:rPr>
              <w:t>)</w:t>
            </w:r>
          </w:p>
        </w:tc>
        <w:tc>
          <w:tcPr>
            <w:tcW w:w="1928"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6</w:t>
            </w:r>
            <w:r>
              <w:rPr>
                <w:rFonts w:cs="Times New Roman"/>
                <w:bCs/>
                <w:sz w:val="20"/>
                <w:szCs w:val="20"/>
              </w:rPr>
              <w:t xml:space="preserve"> (</w:t>
            </w:r>
            <w:r w:rsidRPr="00061C8F">
              <w:rPr>
                <w:rFonts w:cs="Times New Roman"/>
                <w:bCs/>
                <w:sz w:val="20"/>
                <w:szCs w:val="20"/>
              </w:rPr>
              <w:t>31.6%</w:t>
            </w:r>
            <w:r>
              <w:rPr>
                <w:rFonts w:cs="Times New Roman"/>
                <w:bCs/>
                <w:sz w:val="20"/>
                <w:szCs w:val="20"/>
              </w:rPr>
              <w:t>)</w:t>
            </w:r>
          </w:p>
        </w:tc>
        <w:tc>
          <w:tcPr>
            <w:tcW w:w="1688" w:type="dxa"/>
          </w:tcPr>
          <w:p w:rsidR="00061C8F" w:rsidRPr="0088624C" w:rsidRDefault="00061C8F" w:rsidP="00E152B3">
            <w:pPr>
              <w:tabs>
                <w:tab w:val="left" w:pos="2450"/>
              </w:tabs>
              <w:rPr>
                <w:rFonts w:cs="Times New Roman"/>
                <w:bCs/>
                <w:sz w:val="20"/>
                <w:szCs w:val="20"/>
              </w:rPr>
            </w:pPr>
            <w:r>
              <w:rPr>
                <w:rFonts w:cs="Times New Roman"/>
                <w:bCs/>
                <w:sz w:val="20"/>
                <w:szCs w:val="20"/>
              </w:rPr>
              <w:t>12 (</w:t>
            </w:r>
            <w:r w:rsidRPr="00061C8F">
              <w:rPr>
                <w:rFonts w:cs="Times New Roman"/>
                <w:bCs/>
                <w:sz w:val="20"/>
                <w:szCs w:val="20"/>
              </w:rPr>
              <w:t>63.2%</w:t>
            </w:r>
            <w:r>
              <w:rPr>
                <w:rFonts w:cs="Times New Roman"/>
                <w:bCs/>
                <w:sz w:val="20"/>
                <w:szCs w:val="20"/>
              </w:rPr>
              <w:t>)</w:t>
            </w:r>
          </w:p>
        </w:tc>
        <w:tc>
          <w:tcPr>
            <w:tcW w:w="1797" w:type="dxa"/>
            <w:vMerge w:val="restart"/>
          </w:tcPr>
          <w:p w:rsidR="00061C8F" w:rsidRPr="0088624C" w:rsidRDefault="003A469F" w:rsidP="00E152B3">
            <w:pPr>
              <w:tabs>
                <w:tab w:val="left" w:pos="2450"/>
              </w:tabs>
              <w:rPr>
                <w:rFonts w:cs="Times New Roman"/>
                <w:bCs/>
                <w:sz w:val="20"/>
                <w:szCs w:val="20"/>
              </w:rPr>
            </w:pPr>
            <w:r w:rsidRPr="003A469F">
              <w:rPr>
                <w:rFonts w:cs="Times New Roman"/>
                <w:bCs/>
                <w:sz w:val="20"/>
                <w:szCs w:val="20"/>
              </w:rPr>
              <w:t>p&lt;0.001</w:t>
            </w:r>
          </w:p>
        </w:tc>
      </w:tr>
      <w:tr w:rsidR="00061C8F" w:rsidRPr="0088624C" w:rsidTr="00BD0B18">
        <w:tc>
          <w:tcPr>
            <w:tcW w:w="2034"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KONTROLA</w:t>
            </w:r>
            <w:r>
              <w:rPr>
                <w:rFonts w:cs="Times New Roman"/>
                <w:bCs/>
                <w:sz w:val="20"/>
                <w:szCs w:val="20"/>
              </w:rPr>
              <w:t>, n (%)</w:t>
            </w:r>
          </w:p>
        </w:tc>
        <w:tc>
          <w:tcPr>
            <w:tcW w:w="1841"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6</w:t>
            </w:r>
            <w:r>
              <w:rPr>
                <w:rFonts w:cs="Times New Roman"/>
                <w:bCs/>
                <w:sz w:val="20"/>
                <w:szCs w:val="20"/>
              </w:rPr>
              <w:t xml:space="preserve"> (</w:t>
            </w:r>
            <w:r w:rsidRPr="00061C8F">
              <w:rPr>
                <w:rFonts w:cs="Times New Roman"/>
                <w:bCs/>
                <w:sz w:val="20"/>
                <w:szCs w:val="20"/>
              </w:rPr>
              <w:t>31.6%</w:t>
            </w:r>
            <w:r>
              <w:rPr>
                <w:rFonts w:cs="Times New Roman"/>
                <w:bCs/>
                <w:sz w:val="20"/>
                <w:szCs w:val="20"/>
              </w:rPr>
              <w:t>)</w:t>
            </w:r>
          </w:p>
        </w:tc>
        <w:tc>
          <w:tcPr>
            <w:tcW w:w="1928" w:type="dxa"/>
          </w:tcPr>
          <w:p w:rsidR="00061C8F" w:rsidRPr="0088624C" w:rsidRDefault="00061C8F" w:rsidP="00E152B3">
            <w:pPr>
              <w:tabs>
                <w:tab w:val="left" w:pos="2450"/>
              </w:tabs>
              <w:rPr>
                <w:rFonts w:cs="Times New Roman"/>
                <w:bCs/>
                <w:sz w:val="20"/>
                <w:szCs w:val="20"/>
              </w:rPr>
            </w:pPr>
            <w:r w:rsidRPr="0088624C">
              <w:rPr>
                <w:rFonts w:cs="Times New Roman"/>
                <w:bCs/>
                <w:sz w:val="20"/>
                <w:szCs w:val="20"/>
              </w:rPr>
              <w:t>13</w:t>
            </w:r>
            <w:r>
              <w:rPr>
                <w:rFonts w:cs="Times New Roman"/>
                <w:bCs/>
                <w:sz w:val="20"/>
                <w:szCs w:val="20"/>
              </w:rPr>
              <w:t xml:space="preserve"> (</w:t>
            </w:r>
            <w:r w:rsidRPr="00061C8F">
              <w:rPr>
                <w:rFonts w:cs="Times New Roman"/>
                <w:bCs/>
                <w:sz w:val="20"/>
                <w:szCs w:val="20"/>
              </w:rPr>
              <w:t>68.4%</w:t>
            </w:r>
            <w:r>
              <w:rPr>
                <w:rFonts w:cs="Times New Roman"/>
                <w:bCs/>
                <w:sz w:val="20"/>
                <w:szCs w:val="20"/>
              </w:rPr>
              <w:t>)</w:t>
            </w:r>
          </w:p>
        </w:tc>
        <w:tc>
          <w:tcPr>
            <w:tcW w:w="1688" w:type="dxa"/>
          </w:tcPr>
          <w:p w:rsidR="00061C8F" w:rsidRPr="0088624C" w:rsidRDefault="00061C8F" w:rsidP="00E152B3">
            <w:pPr>
              <w:tabs>
                <w:tab w:val="left" w:pos="2450"/>
              </w:tabs>
              <w:rPr>
                <w:rFonts w:cs="Times New Roman"/>
                <w:bCs/>
                <w:sz w:val="20"/>
                <w:szCs w:val="20"/>
              </w:rPr>
            </w:pPr>
            <w:r>
              <w:rPr>
                <w:rFonts w:cs="Times New Roman"/>
                <w:bCs/>
                <w:sz w:val="20"/>
                <w:szCs w:val="20"/>
              </w:rPr>
              <w:t>0 (0.0%)</w:t>
            </w:r>
          </w:p>
        </w:tc>
        <w:tc>
          <w:tcPr>
            <w:tcW w:w="1797" w:type="dxa"/>
            <w:vMerge/>
          </w:tcPr>
          <w:p w:rsidR="00061C8F" w:rsidRPr="0088624C" w:rsidRDefault="00061C8F" w:rsidP="00E152B3">
            <w:pPr>
              <w:tabs>
                <w:tab w:val="left" w:pos="2450"/>
              </w:tabs>
              <w:rPr>
                <w:rFonts w:cs="Times New Roman"/>
                <w:bCs/>
                <w:sz w:val="20"/>
                <w:szCs w:val="20"/>
              </w:rPr>
            </w:pPr>
          </w:p>
        </w:tc>
      </w:tr>
    </w:tbl>
    <w:p w:rsidR="00061C8F" w:rsidRPr="00061C8F" w:rsidRDefault="00061C8F" w:rsidP="009750D6">
      <w:pPr>
        <w:keepNext/>
        <w:tabs>
          <w:tab w:val="left" w:pos="2450"/>
        </w:tabs>
        <w:spacing w:line="360" w:lineRule="auto"/>
        <w:jc w:val="both"/>
        <w:rPr>
          <w:sz w:val="20"/>
          <w:szCs w:val="20"/>
        </w:rPr>
      </w:pPr>
      <w:r w:rsidRPr="00061C8F">
        <w:rPr>
          <w:sz w:val="20"/>
          <w:szCs w:val="20"/>
        </w:rPr>
        <w:lastRenderedPageBreak/>
        <w:t>U tumorskoj skupini više je uzoraka s jakim intenzitetom obojenja, a razlika u i</w:t>
      </w:r>
      <w:r>
        <w:rPr>
          <w:sz w:val="20"/>
          <w:szCs w:val="20"/>
        </w:rPr>
        <w:t>ntenzitetu obojenja između dviju skupina</w:t>
      </w:r>
      <w:r w:rsidRPr="00061C8F">
        <w:rPr>
          <w:sz w:val="20"/>
          <w:szCs w:val="20"/>
        </w:rPr>
        <w:t xml:space="preserve"> uzoraka je statistički z</w:t>
      </w:r>
      <w:r w:rsidR="007C601E">
        <w:rPr>
          <w:sz w:val="20"/>
          <w:szCs w:val="20"/>
        </w:rPr>
        <w:t xml:space="preserve">načajna (Fisher exact test </w:t>
      </w:r>
      <w:r w:rsidRPr="00061C8F">
        <w:rPr>
          <w:sz w:val="20"/>
          <w:szCs w:val="20"/>
        </w:rPr>
        <w:t>=</w:t>
      </w:r>
      <w:r>
        <w:rPr>
          <w:sz w:val="20"/>
          <w:szCs w:val="20"/>
        </w:rPr>
        <w:t xml:space="preserve"> 19.627</w:t>
      </w:r>
      <w:r w:rsidRPr="00061C8F">
        <w:rPr>
          <w:sz w:val="20"/>
          <w:szCs w:val="20"/>
        </w:rPr>
        <w:t>, p</w:t>
      </w:r>
      <w:r>
        <w:rPr>
          <w:sz w:val="20"/>
          <w:szCs w:val="20"/>
        </w:rPr>
        <w:t xml:space="preserve"> </w:t>
      </w:r>
      <w:r w:rsidRPr="00061C8F">
        <w:rPr>
          <w:sz w:val="20"/>
          <w:szCs w:val="20"/>
        </w:rPr>
        <w:t>=</w:t>
      </w:r>
      <w:r>
        <w:rPr>
          <w:sz w:val="20"/>
          <w:szCs w:val="20"/>
        </w:rPr>
        <w:t xml:space="preserve"> </w:t>
      </w:r>
      <w:r w:rsidRPr="00061C8F">
        <w:rPr>
          <w:sz w:val="20"/>
          <w:szCs w:val="20"/>
        </w:rPr>
        <w:t>0.000025</w:t>
      </w:r>
      <w:r>
        <w:rPr>
          <w:sz w:val="20"/>
          <w:szCs w:val="20"/>
        </w:rPr>
        <w:t>).</w:t>
      </w:r>
    </w:p>
    <w:p w:rsidR="00061C8F" w:rsidRPr="00061C8F" w:rsidRDefault="00061C8F" w:rsidP="00061C8F">
      <w:pPr>
        <w:keepNext/>
        <w:tabs>
          <w:tab w:val="left" w:pos="2450"/>
        </w:tabs>
        <w:rPr>
          <w:sz w:val="20"/>
          <w:szCs w:val="20"/>
        </w:rPr>
      </w:pPr>
    </w:p>
    <w:p w:rsidR="003A469F" w:rsidRDefault="003A469F" w:rsidP="003A469F">
      <w:pPr>
        <w:pStyle w:val="Caption"/>
        <w:keepNext/>
        <w:jc w:val="both"/>
      </w:pPr>
      <w:r>
        <w:rPr>
          <w:b w:val="0"/>
          <w:noProof/>
          <w:color w:val="auto"/>
          <w:sz w:val="20"/>
          <w:szCs w:val="20"/>
          <w:lang w:eastAsia="hr-HR"/>
        </w:rPr>
        <w:drawing>
          <wp:inline distT="0" distB="0" distL="0" distR="0" wp14:anchorId="26DDB751" wp14:editId="22CE6682">
            <wp:extent cx="3996000" cy="28800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png"/>
                    <pic:cNvPicPr/>
                  </pic:nvPicPr>
                  <pic:blipFill>
                    <a:blip r:embed="rId14">
                      <a:extLst>
                        <a:ext uri="{28A0092B-C50C-407E-A947-70E740481C1C}">
                          <a14:useLocalDpi xmlns:a14="http://schemas.microsoft.com/office/drawing/2010/main" val="0"/>
                        </a:ext>
                      </a:extLst>
                    </a:blip>
                    <a:stretch>
                      <a:fillRect/>
                    </a:stretch>
                  </pic:blipFill>
                  <pic:spPr>
                    <a:xfrm>
                      <a:off x="0" y="0"/>
                      <a:ext cx="3996000" cy="2880000"/>
                    </a:xfrm>
                    <a:prstGeom prst="rect">
                      <a:avLst/>
                    </a:prstGeom>
                  </pic:spPr>
                </pic:pic>
              </a:graphicData>
            </a:graphic>
          </wp:inline>
        </w:drawing>
      </w:r>
    </w:p>
    <w:p w:rsidR="00061C8F" w:rsidRPr="003A469F" w:rsidRDefault="003A469F" w:rsidP="003A469F">
      <w:pPr>
        <w:pStyle w:val="Caption"/>
        <w:jc w:val="both"/>
        <w:rPr>
          <w:rFonts w:cs="Times New Roman"/>
          <w:b w:val="0"/>
          <w:color w:val="auto"/>
          <w:sz w:val="20"/>
          <w:szCs w:val="20"/>
        </w:rPr>
      </w:pPr>
      <w:r>
        <w:rPr>
          <w:rFonts w:cs="Times New Roman"/>
          <w:b w:val="0"/>
          <w:color w:val="auto"/>
        </w:rPr>
        <w:t xml:space="preserve">         </w:t>
      </w:r>
      <w:r w:rsidRPr="003A469F">
        <w:rPr>
          <w:rFonts w:cs="Times New Roman"/>
          <w:b w:val="0"/>
          <w:color w:val="auto"/>
        </w:rPr>
        <w:t xml:space="preserve">Slika </w:t>
      </w:r>
      <w:r w:rsidRPr="003A469F">
        <w:rPr>
          <w:rFonts w:cs="Times New Roman"/>
          <w:b w:val="0"/>
          <w:color w:val="auto"/>
        </w:rPr>
        <w:fldChar w:fldCharType="begin"/>
      </w:r>
      <w:r w:rsidRPr="003A469F">
        <w:rPr>
          <w:rFonts w:cs="Times New Roman"/>
          <w:b w:val="0"/>
          <w:color w:val="auto"/>
        </w:rPr>
        <w:instrText xml:space="preserve"> SEQ Slika \* ARABIC </w:instrText>
      </w:r>
      <w:r w:rsidRPr="003A469F">
        <w:rPr>
          <w:rFonts w:cs="Times New Roman"/>
          <w:b w:val="0"/>
          <w:color w:val="auto"/>
        </w:rPr>
        <w:fldChar w:fldCharType="separate"/>
      </w:r>
      <w:r w:rsidR="00B23F9B">
        <w:rPr>
          <w:rFonts w:cs="Times New Roman"/>
          <w:b w:val="0"/>
          <w:noProof/>
          <w:color w:val="auto"/>
        </w:rPr>
        <w:t>5</w:t>
      </w:r>
      <w:r w:rsidRPr="003A469F">
        <w:rPr>
          <w:rFonts w:cs="Times New Roman"/>
          <w:b w:val="0"/>
          <w:color w:val="auto"/>
        </w:rPr>
        <w:fldChar w:fldCharType="end"/>
      </w:r>
      <w:r w:rsidRPr="003A469F">
        <w:rPr>
          <w:rFonts w:cs="Times New Roman"/>
          <w:b w:val="0"/>
          <w:color w:val="auto"/>
        </w:rPr>
        <w:t>.</w:t>
      </w:r>
      <w:r w:rsidR="007751CF">
        <w:rPr>
          <w:rFonts w:cs="Times New Roman"/>
          <w:b w:val="0"/>
          <w:color w:val="auto"/>
        </w:rPr>
        <w:t xml:space="preserve"> Intenzitet obojenja.</w:t>
      </w:r>
    </w:p>
    <w:p w:rsidR="00061C8F" w:rsidRDefault="00061C8F" w:rsidP="00CC392F">
      <w:pPr>
        <w:pStyle w:val="Caption"/>
        <w:rPr>
          <w:b w:val="0"/>
          <w:color w:val="auto"/>
          <w:sz w:val="20"/>
          <w:szCs w:val="20"/>
        </w:rPr>
      </w:pPr>
    </w:p>
    <w:p w:rsidR="00D16B79" w:rsidRDefault="00D16B79" w:rsidP="000D253A">
      <w:pPr>
        <w:rPr>
          <w:bCs/>
          <w:sz w:val="20"/>
          <w:szCs w:val="20"/>
        </w:rPr>
      </w:pPr>
    </w:p>
    <w:p w:rsidR="007751CF" w:rsidRDefault="007751CF" w:rsidP="000D253A">
      <w:pPr>
        <w:rPr>
          <w:rFonts w:cs="Times New Roman"/>
          <w:bCs/>
          <w:sz w:val="20"/>
          <w:szCs w:val="20"/>
        </w:rPr>
      </w:pPr>
    </w:p>
    <w:p w:rsidR="000D253A" w:rsidRDefault="00530B96" w:rsidP="009750D6">
      <w:pPr>
        <w:spacing w:line="360" w:lineRule="auto"/>
        <w:jc w:val="both"/>
        <w:rPr>
          <w:rFonts w:cs="Times New Roman"/>
          <w:bCs/>
          <w:sz w:val="20"/>
          <w:szCs w:val="20"/>
        </w:rPr>
      </w:pPr>
      <w:r>
        <w:rPr>
          <w:rFonts w:cs="Times New Roman"/>
          <w:bCs/>
          <w:sz w:val="20"/>
          <w:szCs w:val="20"/>
        </w:rPr>
        <w:t>R</w:t>
      </w:r>
      <w:r w:rsidR="000D253A" w:rsidRPr="0088624C">
        <w:rPr>
          <w:rFonts w:cs="Times New Roman"/>
          <w:bCs/>
          <w:sz w:val="20"/>
          <w:szCs w:val="20"/>
        </w:rPr>
        <w:t>ezultate analize imunohistokemij</w:t>
      </w:r>
      <w:r w:rsidR="009710DE" w:rsidRPr="0088624C">
        <w:rPr>
          <w:rFonts w:cs="Times New Roman"/>
          <w:bCs/>
          <w:sz w:val="20"/>
          <w:szCs w:val="20"/>
        </w:rPr>
        <w:t>s</w:t>
      </w:r>
      <w:r w:rsidR="000D253A" w:rsidRPr="0088624C">
        <w:rPr>
          <w:rFonts w:cs="Times New Roman"/>
          <w:bCs/>
          <w:sz w:val="20"/>
          <w:szCs w:val="20"/>
        </w:rPr>
        <w:t>ke reakcije obzirom</w:t>
      </w:r>
      <w:r w:rsidR="003A469F">
        <w:rPr>
          <w:rFonts w:cs="Times New Roman"/>
          <w:bCs/>
          <w:sz w:val="20"/>
          <w:szCs w:val="20"/>
        </w:rPr>
        <w:t xml:space="preserve"> na postotak pozitivnih stanica </w:t>
      </w:r>
      <w:r w:rsidR="000D253A" w:rsidRPr="0088624C">
        <w:rPr>
          <w:rFonts w:cs="Times New Roman"/>
          <w:bCs/>
          <w:sz w:val="20"/>
          <w:szCs w:val="20"/>
        </w:rPr>
        <w:t>(</w:t>
      </w:r>
      <w:r w:rsidR="003A469F">
        <w:rPr>
          <w:rFonts w:cs="Times New Roman"/>
          <w:bCs/>
          <w:sz w:val="20"/>
          <w:szCs w:val="20"/>
        </w:rPr>
        <w:t xml:space="preserve">PP, engl. </w:t>
      </w:r>
      <w:r w:rsidR="000D253A" w:rsidRPr="0088624C">
        <w:rPr>
          <w:rFonts w:cs="Times New Roman"/>
          <w:bCs/>
          <w:sz w:val="20"/>
          <w:szCs w:val="20"/>
        </w:rPr>
        <w:t>per</w:t>
      </w:r>
      <w:r>
        <w:rPr>
          <w:rFonts w:cs="Times New Roman"/>
          <w:bCs/>
          <w:sz w:val="20"/>
          <w:szCs w:val="20"/>
        </w:rPr>
        <w:t>centage of positive cells) pokazuju t</w:t>
      </w:r>
      <w:r w:rsidR="007751CF">
        <w:rPr>
          <w:rFonts w:cs="Times New Roman"/>
          <w:bCs/>
          <w:sz w:val="20"/>
          <w:szCs w:val="20"/>
        </w:rPr>
        <w:t>ablica 4. i Slika 6</w:t>
      </w:r>
      <w:r w:rsidRPr="00530B96">
        <w:rPr>
          <w:rFonts w:cs="Times New Roman"/>
          <w:bCs/>
          <w:sz w:val="20"/>
          <w:szCs w:val="20"/>
        </w:rPr>
        <w:t>.</w:t>
      </w:r>
    </w:p>
    <w:p w:rsidR="009750D6" w:rsidRPr="0088624C" w:rsidRDefault="009750D6" w:rsidP="009750D6">
      <w:pPr>
        <w:spacing w:line="360" w:lineRule="auto"/>
        <w:jc w:val="both"/>
        <w:rPr>
          <w:rFonts w:cs="Times New Roman"/>
          <w:bCs/>
          <w:sz w:val="20"/>
          <w:szCs w:val="20"/>
        </w:rPr>
      </w:pPr>
    </w:p>
    <w:p w:rsidR="000D253A" w:rsidRPr="0088624C" w:rsidRDefault="000D253A" w:rsidP="000D253A">
      <w:pPr>
        <w:pStyle w:val="Caption"/>
        <w:keepNext/>
        <w:rPr>
          <w:b w:val="0"/>
          <w:color w:val="auto"/>
          <w:sz w:val="20"/>
          <w:szCs w:val="20"/>
        </w:rPr>
      </w:pPr>
      <w:r w:rsidRPr="0088624C">
        <w:rPr>
          <w:b w:val="0"/>
          <w:color w:val="auto"/>
          <w:sz w:val="20"/>
          <w:szCs w:val="20"/>
        </w:rPr>
        <w:t>Tablica 4.</w:t>
      </w:r>
    </w:p>
    <w:tbl>
      <w:tblPr>
        <w:tblStyle w:val="TableGrid"/>
        <w:tblW w:w="0" w:type="auto"/>
        <w:tblLook w:val="04A0" w:firstRow="1" w:lastRow="0" w:firstColumn="1" w:lastColumn="0" w:noHBand="0" w:noVBand="1"/>
      </w:tblPr>
      <w:tblGrid>
        <w:gridCol w:w="2193"/>
        <w:gridCol w:w="1465"/>
        <w:gridCol w:w="1567"/>
        <w:gridCol w:w="1363"/>
        <w:gridCol w:w="1441"/>
        <w:gridCol w:w="1259"/>
      </w:tblGrid>
      <w:tr w:rsidR="007C601E" w:rsidRPr="0088624C" w:rsidTr="007C601E">
        <w:tc>
          <w:tcPr>
            <w:tcW w:w="2193" w:type="dxa"/>
          </w:tcPr>
          <w:p w:rsidR="007C601E" w:rsidRPr="0088624C" w:rsidRDefault="007C601E" w:rsidP="000D253A">
            <w:pPr>
              <w:rPr>
                <w:rFonts w:cs="Times New Roman"/>
                <w:bCs/>
                <w:sz w:val="20"/>
                <w:szCs w:val="20"/>
              </w:rPr>
            </w:pPr>
            <w:r w:rsidRPr="0088624C">
              <w:rPr>
                <w:rFonts w:cs="Times New Roman"/>
                <w:bCs/>
                <w:sz w:val="20"/>
                <w:szCs w:val="20"/>
              </w:rPr>
              <w:t>POSTOTAK POZITIVNIH STANICA</w:t>
            </w:r>
            <w:r>
              <w:rPr>
                <w:rFonts w:cs="Times New Roman"/>
                <w:bCs/>
                <w:sz w:val="20"/>
                <w:szCs w:val="20"/>
              </w:rPr>
              <w:t xml:space="preserve"> (PP)</w:t>
            </w:r>
          </w:p>
        </w:tc>
        <w:tc>
          <w:tcPr>
            <w:tcW w:w="1465" w:type="dxa"/>
          </w:tcPr>
          <w:p w:rsidR="007C601E" w:rsidRPr="0088624C" w:rsidRDefault="007C601E" w:rsidP="000D253A">
            <w:pPr>
              <w:rPr>
                <w:rFonts w:cs="Times New Roman"/>
                <w:bCs/>
                <w:sz w:val="20"/>
                <w:szCs w:val="20"/>
              </w:rPr>
            </w:pPr>
            <w:r>
              <w:rPr>
                <w:rFonts w:cs="Times New Roman"/>
                <w:bCs/>
                <w:sz w:val="20"/>
                <w:szCs w:val="20"/>
              </w:rPr>
              <w:t>Do 1</w:t>
            </w:r>
            <w:r w:rsidRPr="0088624C">
              <w:rPr>
                <w:rFonts w:cs="Times New Roman"/>
                <w:bCs/>
                <w:sz w:val="20"/>
                <w:szCs w:val="20"/>
              </w:rPr>
              <w:t>0%</w:t>
            </w:r>
          </w:p>
        </w:tc>
        <w:tc>
          <w:tcPr>
            <w:tcW w:w="1567" w:type="dxa"/>
          </w:tcPr>
          <w:p w:rsidR="007C601E" w:rsidRPr="0088624C" w:rsidRDefault="007C601E" w:rsidP="000D253A">
            <w:pPr>
              <w:rPr>
                <w:rFonts w:cs="Times New Roman"/>
                <w:bCs/>
                <w:sz w:val="20"/>
                <w:szCs w:val="20"/>
              </w:rPr>
            </w:pPr>
            <w:r>
              <w:rPr>
                <w:rFonts w:cs="Times New Roman"/>
                <w:bCs/>
                <w:sz w:val="20"/>
                <w:szCs w:val="20"/>
              </w:rPr>
              <w:t>11 – 5</w:t>
            </w:r>
            <w:r w:rsidRPr="0088624C">
              <w:rPr>
                <w:rFonts w:cs="Times New Roman"/>
                <w:bCs/>
                <w:sz w:val="20"/>
                <w:szCs w:val="20"/>
              </w:rPr>
              <w:t>0%</w:t>
            </w:r>
          </w:p>
        </w:tc>
        <w:tc>
          <w:tcPr>
            <w:tcW w:w="1363" w:type="dxa"/>
          </w:tcPr>
          <w:p w:rsidR="007C601E" w:rsidRPr="0088624C" w:rsidRDefault="007C601E" w:rsidP="000D253A">
            <w:pPr>
              <w:rPr>
                <w:rFonts w:cs="Times New Roman"/>
                <w:bCs/>
                <w:sz w:val="20"/>
                <w:szCs w:val="20"/>
              </w:rPr>
            </w:pPr>
            <w:r>
              <w:rPr>
                <w:rFonts w:cs="Times New Roman"/>
                <w:bCs/>
                <w:sz w:val="20"/>
                <w:szCs w:val="20"/>
              </w:rPr>
              <w:t>51 – 8</w:t>
            </w:r>
            <w:r w:rsidRPr="0088624C">
              <w:rPr>
                <w:rFonts w:cs="Times New Roman"/>
                <w:bCs/>
                <w:sz w:val="20"/>
                <w:szCs w:val="20"/>
              </w:rPr>
              <w:t>0%</w:t>
            </w:r>
          </w:p>
        </w:tc>
        <w:tc>
          <w:tcPr>
            <w:tcW w:w="1441" w:type="dxa"/>
          </w:tcPr>
          <w:p w:rsidR="007C601E" w:rsidRPr="0088624C" w:rsidRDefault="007C601E" w:rsidP="000D253A">
            <w:pPr>
              <w:rPr>
                <w:rFonts w:cs="Times New Roman"/>
                <w:bCs/>
                <w:sz w:val="20"/>
                <w:szCs w:val="20"/>
              </w:rPr>
            </w:pPr>
            <w:r w:rsidRPr="0088624C">
              <w:rPr>
                <w:rFonts w:cs="Times New Roman"/>
                <w:bCs/>
                <w:sz w:val="20"/>
                <w:szCs w:val="20"/>
              </w:rPr>
              <w:t>&gt;</w:t>
            </w:r>
            <w:r>
              <w:rPr>
                <w:rFonts w:cs="Times New Roman"/>
                <w:bCs/>
                <w:sz w:val="20"/>
                <w:szCs w:val="20"/>
              </w:rPr>
              <w:t xml:space="preserve"> </w:t>
            </w:r>
            <w:r w:rsidRPr="0088624C">
              <w:rPr>
                <w:rFonts w:cs="Times New Roman"/>
                <w:bCs/>
                <w:sz w:val="20"/>
                <w:szCs w:val="20"/>
              </w:rPr>
              <w:t>80%</w:t>
            </w:r>
          </w:p>
        </w:tc>
        <w:tc>
          <w:tcPr>
            <w:tcW w:w="1259" w:type="dxa"/>
          </w:tcPr>
          <w:p w:rsidR="007C601E" w:rsidRPr="0088624C" w:rsidRDefault="007C601E" w:rsidP="000D253A">
            <w:pPr>
              <w:rPr>
                <w:rFonts w:cs="Times New Roman"/>
                <w:bCs/>
                <w:sz w:val="20"/>
                <w:szCs w:val="20"/>
              </w:rPr>
            </w:pPr>
            <w:r>
              <w:rPr>
                <w:rFonts w:cs="Times New Roman"/>
                <w:bCs/>
                <w:sz w:val="20"/>
                <w:szCs w:val="20"/>
              </w:rPr>
              <w:t>p</w:t>
            </w:r>
          </w:p>
        </w:tc>
      </w:tr>
      <w:tr w:rsidR="007C601E" w:rsidRPr="0088624C" w:rsidTr="007C601E">
        <w:tc>
          <w:tcPr>
            <w:tcW w:w="2193" w:type="dxa"/>
          </w:tcPr>
          <w:p w:rsidR="007C601E" w:rsidRPr="0088624C" w:rsidRDefault="007C601E" w:rsidP="000D253A">
            <w:pPr>
              <w:rPr>
                <w:rFonts w:cs="Times New Roman"/>
                <w:bCs/>
                <w:sz w:val="20"/>
                <w:szCs w:val="20"/>
              </w:rPr>
            </w:pPr>
            <w:r w:rsidRPr="0088624C">
              <w:rPr>
                <w:rFonts w:cs="Times New Roman"/>
                <w:bCs/>
                <w:sz w:val="20"/>
                <w:szCs w:val="20"/>
              </w:rPr>
              <w:t>TUMOR</w:t>
            </w:r>
            <w:r>
              <w:rPr>
                <w:rFonts w:cs="Times New Roman"/>
                <w:bCs/>
                <w:sz w:val="20"/>
                <w:szCs w:val="20"/>
              </w:rPr>
              <w:t>, n (%)</w:t>
            </w:r>
          </w:p>
        </w:tc>
        <w:tc>
          <w:tcPr>
            <w:tcW w:w="1465" w:type="dxa"/>
          </w:tcPr>
          <w:p w:rsidR="007C601E" w:rsidRPr="0088624C" w:rsidRDefault="007C601E" w:rsidP="000D253A">
            <w:pPr>
              <w:rPr>
                <w:rFonts w:cs="Times New Roman"/>
                <w:bCs/>
                <w:sz w:val="20"/>
                <w:szCs w:val="20"/>
              </w:rPr>
            </w:pPr>
            <w:r w:rsidRPr="0088624C">
              <w:rPr>
                <w:rFonts w:cs="Times New Roman"/>
                <w:bCs/>
                <w:sz w:val="20"/>
                <w:szCs w:val="20"/>
              </w:rPr>
              <w:t>1</w:t>
            </w:r>
            <w:r>
              <w:rPr>
                <w:rFonts w:cs="Times New Roman"/>
                <w:bCs/>
                <w:sz w:val="20"/>
                <w:szCs w:val="20"/>
              </w:rPr>
              <w:t xml:space="preserve"> (</w:t>
            </w:r>
            <w:r w:rsidRPr="00D16B79">
              <w:rPr>
                <w:rFonts w:cs="Times New Roman"/>
                <w:bCs/>
                <w:sz w:val="20"/>
                <w:szCs w:val="20"/>
              </w:rPr>
              <w:t>5.3%</w:t>
            </w:r>
            <w:r>
              <w:rPr>
                <w:rFonts w:cs="Times New Roman"/>
                <w:bCs/>
                <w:sz w:val="20"/>
                <w:szCs w:val="20"/>
              </w:rPr>
              <w:t>)</w:t>
            </w:r>
          </w:p>
        </w:tc>
        <w:tc>
          <w:tcPr>
            <w:tcW w:w="1567" w:type="dxa"/>
          </w:tcPr>
          <w:p w:rsidR="007C601E" w:rsidRPr="0088624C" w:rsidRDefault="007C601E" w:rsidP="000D253A">
            <w:pPr>
              <w:rPr>
                <w:rFonts w:cs="Times New Roman"/>
                <w:bCs/>
                <w:sz w:val="20"/>
                <w:szCs w:val="20"/>
              </w:rPr>
            </w:pPr>
            <w:r w:rsidRPr="0088624C">
              <w:rPr>
                <w:rFonts w:cs="Times New Roman"/>
                <w:bCs/>
                <w:sz w:val="20"/>
                <w:szCs w:val="20"/>
              </w:rPr>
              <w:t>2</w:t>
            </w:r>
            <w:r>
              <w:rPr>
                <w:rFonts w:cs="Times New Roman"/>
                <w:bCs/>
                <w:sz w:val="20"/>
                <w:szCs w:val="20"/>
              </w:rPr>
              <w:t xml:space="preserve"> (</w:t>
            </w:r>
            <w:r w:rsidRPr="00D16B79">
              <w:rPr>
                <w:rFonts w:cs="Times New Roman"/>
                <w:bCs/>
                <w:sz w:val="20"/>
                <w:szCs w:val="20"/>
              </w:rPr>
              <w:t>10.5%</w:t>
            </w:r>
            <w:r>
              <w:rPr>
                <w:rFonts w:cs="Times New Roman"/>
                <w:bCs/>
                <w:sz w:val="20"/>
                <w:szCs w:val="20"/>
              </w:rPr>
              <w:t>)</w:t>
            </w:r>
          </w:p>
        </w:tc>
        <w:tc>
          <w:tcPr>
            <w:tcW w:w="1363" w:type="dxa"/>
          </w:tcPr>
          <w:p w:rsidR="007C601E" w:rsidRPr="0088624C" w:rsidRDefault="007C601E" w:rsidP="000D253A">
            <w:pPr>
              <w:rPr>
                <w:rFonts w:cs="Times New Roman"/>
                <w:bCs/>
                <w:sz w:val="20"/>
                <w:szCs w:val="20"/>
              </w:rPr>
            </w:pPr>
            <w:r w:rsidRPr="0088624C">
              <w:rPr>
                <w:rFonts w:cs="Times New Roman"/>
                <w:bCs/>
                <w:sz w:val="20"/>
                <w:szCs w:val="20"/>
              </w:rPr>
              <w:t>4</w:t>
            </w:r>
            <w:r>
              <w:rPr>
                <w:rFonts w:cs="Times New Roman"/>
                <w:bCs/>
                <w:sz w:val="20"/>
                <w:szCs w:val="20"/>
              </w:rPr>
              <w:t xml:space="preserve"> (</w:t>
            </w:r>
            <w:r w:rsidRPr="00D16B79">
              <w:rPr>
                <w:rFonts w:cs="Times New Roman"/>
                <w:bCs/>
                <w:sz w:val="20"/>
                <w:szCs w:val="20"/>
              </w:rPr>
              <w:t>21.1%</w:t>
            </w:r>
            <w:r>
              <w:rPr>
                <w:rFonts w:cs="Times New Roman"/>
                <w:bCs/>
                <w:sz w:val="20"/>
                <w:szCs w:val="20"/>
              </w:rPr>
              <w:t>)</w:t>
            </w:r>
          </w:p>
        </w:tc>
        <w:tc>
          <w:tcPr>
            <w:tcW w:w="1441" w:type="dxa"/>
          </w:tcPr>
          <w:p w:rsidR="007C601E" w:rsidRPr="0088624C" w:rsidRDefault="007C601E" w:rsidP="000D253A">
            <w:pPr>
              <w:rPr>
                <w:rFonts w:cs="Times New Roman"/>
                <w:bCs/>
                <w:sz w:val="20"/>
                <w:szCs w:val="20"/>
              </w:rPr>
            </w:pPr>
            <w:r w:rsidRPr="0088624C">
              <w:rPr>
                <w:rFonts w:cs="Times New Roman"/>
                <w:bCs/>
                <w:sz w:val="20"/>
                <w:szCs w:val="20"/>
              </w:rPr>
              <w:t>12</w:t>
            </w:r>
            <w:r>
              <w:rPr>
                <w:rFonts w:cs="Times New Roman"/>
                <w:bCs/>
                <w:sz w:val="20"/>
                <w:szCs w:val="20"/>
              </w:rPr>
              <w:t xml:space="preserve"> (</w:t>
            </w:r>
            <w:r w:rsidRPr="00D16B79">
              <w:rPr>
                <w:rFonts w:cs="Times New Roman"/>
                <w:bCs/>
                <w:sz w:val="20"/>
                <w:szCs w:val="20"/>
              </w:rPr>
              <w:t>63.2%</w:t>
            </w:r>
            <w:r>
              <w:rPr>
                <w:rFonts w:cs="Times New Roman"/>
                <w:bCs/>
                <w:sz w:val="20"/>
                <w:szCs w:val="20"/>
              </w:rPr>
              <w:t>)</w:t>
            </w:r>
          </w:p>
        </w:tc>
        <w:tc>
          <w:tcPr>
            <w:tcW w:w="1259" w:type="dxa"/>
            <w:vMerge w:val="restart"/>
          </w:tcPr>
          <w:p w:rsidR="007C601E" w:rsidRPr="0088624C" w:rsidRDefault="007C601E" w:rsidP="000D253A">
            <w:pPr>
              <w:rPr>
                <w:rFonts w:cs="Times New Roman"/>
                <w:bCs/>
                <w:sz w:val="20"/>
                <w:szCs w:val="20"/>
              </w:rPr>
            </w:pPr>
            <w:r w:rsidRPr="007C601E">
              <w:rPr>
                <w:rFonts w:cs="Times New Roman"/>
                <w:bCs/>
                <w:sz w:val="20"/>
                <w:szCs w:val="20"/>
              </w:rPr>
              <w:t>p&lt;0.001</w:t>
            </w:r>
          </w:p>
        </w:tc>
      </w:tr>
      <w:tr w:rsidR="007C601E" w:rsidRPr="0088624C" w:rsidTr="007C601E">
        <w:tc>
          <w:tcPr>
            <w:tcW w:w="2193" w:type="dxa"/>
          </w:tcPr>
          <w:p w:rsidR="007C601E" w:rsidRPr="0088624C" w:rsidRDefault="007C601E" w:rsidP="000D253A">
            <w:pPr>
              <w:rPr>
                <w:rFonts w:cs="Times New Roman"/>
                <w:bCs/>
                <w:sz w:val="20"/>
                <w:szCs w:val="20"/>
              </w:rPr>
            </w:pPr>
            <w:r w:rsidRPr="0088624C">
              <w:rPr>
                <w:rFonts w:cs="Times New Roman"/>
                <w:bCs/>
                <w:sz w:val="20"/>
                <w:szCs w:val="20"/>
              </w:rPr>
              <w:t>KONTROLA</w:t>
            </w:r>
            <w:r>
              <w:rPr>
                <w:rFonts w:cs="Times New Roman"/>
                <w:bCs/>
                <w:sz w:val="20"/>
                <w:szCs w:val="20"/>
              </w:rPr>
              <w:t>, n (%)</w:t>
            </w:r>
          </w:p>
        </w:tc>
        <w:tc>
          <w:tcPr>
            <w:tcW w:w="1465" w:type="dxa"/>
          </w:tcPr>
          <w:p w:rsidR="007C601E" w:rsidRPr="0088624C" w:rsidRDefault="007C601E" w:rsidP="000D253A">
            <w:pPr>
              <w:rPr>
                <w:rFonts w:cs="Times New Roman"/>
                <w:bCs/>
                <w:sz w:val="20"/>
                <w:szCs w:val="20"/>
              </w:rPr>
            </w:pPr>
            <w:r w:rsidRPr="0088624C">
              <w:rPr>
                <w:rFonts w:cs="Times New Roman"/>
                <w:bCs/>
                <w:sz w:val="20"/>
                <w:szCs w:val="20"/>
              </w:rPr>
              <w:t>6</w:t>
            </w:r>
            <w:r>
              <w:rPr>
                <w:rFonts w:cs="Times New Roman"/>
                <w:bCs/>
                <w:sz w:val="20"/>
                <w:szCs w:val="20"/>
              </w:rPr>
              <w:t xml:space="preserve"> (</w:t>
            </w:r>
            <w:r w:rsidRPr="00D16B79">
              <w:rPr>
                <w:rFonts w:cs="Times New Roman"/>
                <w:bCs/>
                <w:sz w:val="20"/>
                <w:szCs w:val="20"/>
              </w:rPr>
              <w:t>31.6%</w:t>
            </w:r>
            <w:r>
              <w:rPr>
                <w:rFonts w:cs="Times New Roman"/>
                <w:bCs/>
                <w:sz w:val="20"/>
                <w:szCs w:val="20"/>
              </w:rPr>
              <w:t>)</w:t>
            </w:r>
          </w:p>
        </w:tc>
        <w:tc>
          <w:tcPr>
            <w:tcW w:w="1567" w:type="dxa"/>
          </w:tcPr>
          <w:p w:rsidR="007C601E" w:rsidRPr="0088624C" w:rsidRDefault="007C601E" w:rsidP="000D253A">
            <w:pPr>
              <w:rPr>
                <w:rFonts w:cs="Times New Roman"/>
                <w:bCs/>
                <w:sz w:val="20"/>
                <w:szCs w:val="20"/>
              </w:rPr>
            </w:pPr>
            <w:r w:rsidRPr="0088624C">
              <w:rPr>
                <w:rFonts w:cs="Times New Roman"/>
                <w:bCs/>
                <w:sz w:val="20"/>
                <w:szCs w:val="20"/>
              </w:rPr>
              <w:t>8</w:t>
            </w:r>
            <w:r>
              <w:rPr>
                <w:rFonts w:cs="Times New Roman"/>
                <w:bCs/>
                <w:sz w:val="20"/>
                <w:szCs w:val="20"/>
              </w:rPr>
              <w:t xml:space="preserve"> (42.1%)</w:t>
            </w:r>
          </w:p>
        </w:tc>
        <w:tc>
          <w:tcPr>
            <w:tcW w:w="1363" w:type="dxa"/>
          </w:tcPr>
          <w:p w:rsidR="007C601E" w:rsidRPr="0088624C" w:rsidRDefault="007C601E" w:rsidP="000D253A">
            <w:pPr>
              <w:rPr>
                <w:rFonts w:cs="Times New Roman"/>
                <w:bCs/>
                <w:sz w:val="20"/>
                <w:szCs w:val="20"/>
              </w:rPr>
            </w:pPr>
            <w:r w:rsidRPr="0088624C">
              <w:rPr>
                <w:rFonts w:cs="Times New Roman"/>
                <w:bCs/>
                <w:sz w:val="20"/>
                <w:szCs w:val="20"/>
              </w:rPr>
              <w:t>5</w:t>
            </w:r>
            <w:r>
              <w:rPr>
                <w:rFonts w:cs="Times New Roman"/>
                <w:bCs/>
                <w:sz w:val="20"/>
                <w:szCs w:val="20"/>
              </w:rPr>
              <w:t xml:space="preserve"> (</w:t>
            </w:r>
            <w:r w:rsidRPr="00397FAD">
              <w:rPr>
                <w:rFonts w:cs="Times New Roman"/>
                <w:bCs/>
                <w:sz w:val="20"/>
                <w:szCs w:val="20"/>
              </w:rPr>
              <w:t>26.3%</w:t>
            </w:r>
            <w:r>
              <w:rPr>
                <w:rFonts w:cs="Times New Roman"/>
                <w:bCs/>
                <w:sz w:val="20"/>
                <w:szCs w:val="20"/>
              </w:rPr>
              <w:t>)</w:t>
            </w:r>
          </w:p>
        </w:tc>
        <w:tc>
          <w:tcPr>
            <w:tcW w:w="1441" w:type="dxa"/>
          </w:tcPr>
          <w:p w:rsidR="007C601E" w:rsidRPr="0088624C" w:rsidRDefault="007C601E" w:rsidP="000D253A">
            <w:pPr>
              <w:rPr>
                <w:rFonts w:cs="Times New Roman"/>
                <w:bCs/>
                <w:sz w:val="20"/>
                <w:szCs w:val="20"/>
              </w:rPr>
            </w:pPr>
            <w:r>
              <w:rPr>
                <w:rFonts w:cs="Times New Roman"/>
                <w:bCs/>
                <w:sz w:val="20"/>
                <w:szCs w:val="20"/>
              </w:rPr>
              <w:t xml:space="preserve"> </w:t>
            </w:r>
            <w:r w:rsidRPr="0088624C">
              <w:rPr>
                <w:rFonts w:cs="Times New Roman"/>
                <w:bCs/>
                <w:sz w:val="20"/>
                <w:szCs w:val="20"/>
              </w:rPr>
              <w:t>0</w:t>
            </w:r>
            <w:r>
              <w:rPr>
                <w:rFonts w:cs="Times New Roman"/>
                <w:bCs/>
                <w:sz w:val="20"/>
                <w:szCs w:val="20"/>
              </w:rPr>
              <w:t xml:space="preserve"> (</w:t>
            </w:r>
            <w:r w:rsidRPr="00397FAD">
              <w:rPr>
                <w:rFonts w:cs="Times New Roman"/>
                <w:bCs/>
                <w:sz w:val="20"/>
                <w:szCs w:val="20"/>
              </w:rPr>
              <w:t>0.0%</w:t>
            </w:r>
            <w:r>
              <w:rPr>
                <w:rFonts w:cs="Times New Roman"/>
                <w:bCs/>
                <w:sz w:val="20"/>
                <w:szCs w:val="20"/>
              </w:rPr>
              <w:t>)</w:t>
            </w:r>
          </w:p>
        </w:tc>
        <w:tc>
          <w:tcPr>
            <w:tcW w:w="1259" w:type="dxa"/>
            <w:vMerge/>
          </w:tcPr>
          <w:p w:rsidR="007C601E" w:rsidRDefault="007C601E" w:rsidP="000D253A">
            <w:pPr>
              <w:rPr>
                <w:rFonts w:cs="Times New Roman"/>
                <w:bCs/>
                <w:sz w:val="20"/>
                <w:szCs w:val="20"/>
              </w:rPr>
            </w:pPr>
          </w:p>
        </w:tc>
      </w:tr>
    </w:tbl>
    <w:p w:rsidR="00FC5A3E" w:rsidRPr="0088624C" w:rsidRDefault="00FC5A3E" w:rsidP="00100BA1">
      <w:pPr>
        <w:keepNext/>
        <w:rPr>
          <w:rFonts w:cs="Times New Roman"/>
          <w:bCs/>
          <w:sz w:val="20"/>
          <w:szCs w:val="20"/>
        </w:rPr>
      </w:pPr>
    </w:p>
    <w:p w:rsidR="00FC5A3E" w:rsidRPr="0088624C" w:rsidRDefault="00FC5A3E" w:rsidP="00FC5A3E">
      <w:pPr>
        <w:rPr>
          <w:rFonts w:cs="Times New Roman"/>
          <w:sz w:val="20"/>
          <w:szCs w:val="20"/>
        </w:rPr>
      </w:pPr>
    </w:p>
    <w:p w:rsidR="00FC5A3E" w:rsidRDefault="007C601E" w:rsidP="009750D6">
      <w:pPr>
        <w:spacing w:line="360" w:lineRule="auto"/>
        <w:jc w:val="both"/>
        <w:rPr>
          <w:rFonts w:cs="Times New Roman"/>
          <w:sz w:val="20"/>
          <w:szCs w:val="20"/>
        </w:rPr>
      </w:pPr>
      <w:r>
        <w:rPr>
          <w:rFonts w:cs="Times New Roman"/>
          <w:sz w:val="20"/>
          <w:szCs w:val="20"/>
        </w:rPr>
        <w:t xml:space="preserve">U tumorskoj skupini više je </w:t>
      </w:r>
      <w:r w:rsidRPr="007C601E">
        <w:rPr>
          <w:rFonts w:cs="Times New Roman"/>
          <w:sz w:val="20"/>
          <w:szCs w:val="20"/>
        </w:rPr>
        <w:t>uzoraka uzoraka s visokim (&gt;80</w:t>
      </w:r>
      <w:r>
        <w:rPr>
          <w:rFonts w:cs="Times New Roman"/>
          <w:sz w:val="20"/>
          <w:szCs w:val="20"/>
        </w:rPr>
        <w:t>%) postotkom pozitivnih stanica</w:t>
      </w:r>
      <w:r w:rsidRPr="007C601E">
        <w:rPr>
          <w:rFonts w:cs="Times New Roman"/>
          <w:sz w:val="20"/>
          <w:szCs w:val="20"/>
        </w:rPr>
        <w:t>, dok</w:t>
      </w:r>
      <w:r>
        <w:rPr>
          <w:rFonts w:cs="Times New Roman"/>
          <w:sz w:val="20"/>
          <w:szCs w:val="20"/>
        </w:rPr>
        <w:t xml:space="preserve"> je u kontrolnoj </w:t>
      </w:r>
      <w:r w:rsidRPr="007C601E">
        <w:rPr>
          <w:rFonts w:cs="Times New Roman"/>
          <w:sz w:val="20"/>
          <w:szCs w:val="20"/>
        </w:rPr>
        <w:t>skupin</w:t>
      </w:r>
      <w:r>
        <w:rPr>
          <w:rFonts w:cs="Times New Roman"/>
          <w:sz w:val="20"/>
          <w:szCs w:val="20"/>
        </w:rPr>
        <w:t>i</w:t>
      </w:r>
      <w:r w:rsidRPr="007C601E">
        <w:rPr>
          <w:rFonts w:cs="Times New Roman"/>
          <w:sz w:val="20"/>
          <w:szCs w:val="20"/>
        </w:rPr>
        <w:t xml:space="preserve"> više uzoraka s manjim postotkom pozitivnih stanica. Razlika u postotku</w:t>
      </w:r>
      <w:r>
        <w:rPr>
          <w:rFonts w:cs="Times New Roman"/>
          <w:sz w:val="20"/>
          <w:szCs w:val="20"/>
        </w:rPr>
        <w:t xml:space="preserve"> pozitivnih stanica između dviju skupina uzoraka </w:t>
      </w:r>
      <w:r w:rsidRPr="007C601E">
        <w:rPr>
          <w:rFonts w:cs="Times New Roman"/>
          <w:sz w:val="20"/>
          <w:szCs w:val="20"/>
        </w:rPr>
        <w:t>statistički</w:t>
      </w:r>
      <w:r>
        <w:rPr>
          <w:rFonts w:cs="Times New Roman"/>
          <w:sz w:val="20"/>
          <w:szCs w:val="20"/>
        </w:rPr>
        <w:t xml:space="preserve"> je</w:t>
      </w:r>
      <w:r w:rsidRPr="007C601E">
        <w:rPr>
          <w:rFonts w:cs="Times New Roman"/>
          <w:sz w:val="20"/>
          <w:szCs w:val="20"/>
        </w:rPr>
        <w:t xml:space="preserve"> zna</w:t>
      </w:r>
      <w:r>
        <w:rPr>
          <w:rFonts w:cs="Times New Roman"/>
          <w:sz w:val="20"/>
          <w:szCs w:val="20"/>
        </w:rPr>
        <w:t xml:space="preserve">čajna (Fisher exact test </w:t>
      </w:r>
      <w:r w:rsidRPr="007C601E">
        <w:rPr>
          <w:rFonts w:cs="Times New Roman"/>
          <w:sz w:val="20"/>
          <w:szCs w:val="20"/>
        </w:rPr>
        <w:t>=</w:t>
      </w:r>
      <w:r>
        <w:rPr>
          <w:rFonts w:cs="Times New Roman"/>
          <w:sz w:val="20"/>
          <w:szCs w:val="20"/>
        </w:rPr>
        <w:t xml:space="preserve"> </w:t>
      </w:r>
      <w:r w:rsidRPr="007C601E">
        <w:rPr>
          <w:rFonts w:cs="Times New Roman"/>
          <w:sz w:val="20"/>
          <w:szCs w:val="20"/>
        </w:rPr>
        <w:t>20.751,  p</w:t>
      </w:r>
      <w:r>
        <w:rPr>
          <w:rFonts w:cs="Times New Roman"/>
          <w:sz w:val="20"/>
          <w:szCs w:val="20"/>
        </w:rPr>
        <w:t xml:space="preserve"> =</w:t>
      </w:r>
      <w:r w:rsidRPr="007C601E">
        <w:rPr>
          <w:rFonts w:cs="Times New Roman"/>
          <w:sz w:val="20"/>
          <w:szCs w:val="20"/>
        </w:rPr>
        <w:t>0.000045).</w:t>
      </w:r>
    </w:p>
    <w:p w:rsidR="008A1CBA" w:rsidRPr="0088624C" w:rsidRDefault="008A1CBA" w:rsidP="009750D6">
      <w:pPr>
        <w:spacing w:line="360" w:lineRule="auto"/>
        <w:jc w:val="both"/>
        <w:rPr>
          <w:rFonts w:cs="Times New Roman"/>
          <w:sz w:val="20"/>
          <w:szCs w:val="20"/>
        </w:rPr>
      </w:pPr>
    </w:p>
    <w:p w:rsidR="003A3A94" w:rsidRDefault="008A1CBA" w:rsidP="003A3A94">
      <w:pPr>
        <w:keepNext/>
      </w:pPr>
      <w:r>
        <w:rPr>
          <w:rFonts w:cs="Times New Roman"/>
          <w:noProof/>
          <w:sz w:val="20"/>
          <w:szCs w:val="20"/>
          <w:lang w:eastAsia="hr-HR"/>
        </w:rPr>
        <w:lastRenderedPageBreak/>
        <w:drawing>
          <wp:inline distT="0" distB="0" distL="0" distR="0" wp14:anchorId="633F5906" wp14:editId="1047262E">
            <wp:extent cx="3322800" cy="288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centage of positive cells.png"/>
                    <pic:cNvPicPr/>
                  </pic:nvPicPr>
                  <pic:blipFill>
                    <a:blip r:embed="rId15">
                      <a:extLst>
                        <a:ext uri="{28A0092B-C50C-407E-A947-70E740481C1C}">
                          <a14:useLocalDpi xmlns:a14="http://schemas.microsoft.com/office/drawing/2010/main" val="0"/>
                        </a:ext>
                      </a:extLst>
                    </a:blip>
                    <a:stretch>
                      <a:fillRect/>
                    </a:stretch>
                  </pic:blipFill>
                  <pic:spPr>
                    <a:xfrm>
                      <a:off x="0" y="0"/>
                      <a:ext cx="3322800" cy="2880000"/>
                    </a:xfrm>
                    <a:prstGeom prst="rect">
                      <a:avLst/>
                    </a:prstGeom>
                  </pic:spPr>
                </pic:pic>
              </a:graphicData>
            </a:graphic>
          </wp:inline>
        </w:drawing>
      </w:r>
    </w:p>
    <w:p w:rsidR="00FC5A3E" w:rsidRPr="007751CF" w:rsidRDefault="003A3A94" w:rsidP="003A3A94">
      <w:pPr>
        <w:pStyle w:val="Caption"/>
        <w:rPr>
          <w:rFonts w:cs="Times New Roman"/>
          <w:b w:val="0"/>
          <w:color w:val="auto"/>
          <w:sz w:val="20"/>
          <w:szCs w:val="20"/>
        </w:rPr>
      </w:pPr>
      <w:r w:rsidRPr="007751CF">
        <w:rPr>
          <w:b w:val="0"/>
        </w:rPr>
        <w:t xml:space="preserve">        </w:t>
      </w:r>
      <w:r w:rsidRPr="007751CF">
        <w:rPr>
          <w:b w:val="0"/>
          <w:color w:val="auto"/>
        </w:rPr>
        <w:t xml:space="preserve">Slika </w:t>
      </w:r>
      <w:r w:rsidRPr="007751CF">
        <w:rPr>
          <w:b w:val="0"/>
          <w:color w:val="auto"/>
        </w:rPr>
        <w:fldChar w:fldCharType="begin"/>
      </w:r>
      <w:r w:rsidRPr="007751CF">
        <w:rPr>
          <w:b w:val="0"/>
          <w:color w:val="auto"/>
        </w:rPr>
        <w:instrText xml:space="preserve"> SEQ Slika \* ARABIC </w:instrText>
      </w:r>
      <w:r w:rsidRPr="007751CF">
        <w:rPr>
          <w:b w:val="0"/>
          <w:color w:val="auto"/>
        </w:rPr>
        <w:fldChar w:fldCharType="separate"/>
      </w:r>
      <w:r w:rsidR="00B23F9B">
        <w:rPr>
          <w:b w:val="0"/>
          <w:noProof/>
          <w:color w:val="auto"/>
        </w:rPr>
        <w:t>6</w:t>
      </w:r>
      <w:r w:rsidRPr="007751CF">
        <w:rPr>
          <w:b w:val="0"/>
          <w:color w:val="auto"/>
        </w:rPr>
        <w:fldChar w:fldCharType="end"/>
      </w:r>
      <w:r w:rsidRPr="007751CF">
        <w:rPr>
          <w:b w:val="0"/>
          <w:color w:val="auto"/>
        </w:rPr>
        <w:t>.</w:t>
      </w:r>
      <w:r w:rsidR="007751CF">
        <w:rPr>
          <w:b w:val="0"/>
          <w:color w:val="auto"/>
        </w:rPr>
        <w:t xml:space="preserve"> Postotak pozitivnih stanica.</w:t>
      </w:r>
    </w:p>
    <w:p w:rsidR="007C601E" w:rsidRDefault="007C601E" w:rsidP="00100BA1">
      <w:pPr>
        <w:rPr>
          <w:sz w:val="20"/>
          <w:szCs w:val="20"/>
        </w:rPr>
      </w:pPr>
    </w:p>
    <w:p w:rsidR="008A1CBA" w:rsidRDefault="008A1CBA" w:rsidP="009750D6">
      <w:pPr>
        <w:spacing w:line="360" w:lineRule="auto"/>
        <w:jc w:val="both"/>
        <w:rPr>
          <w:sz w:val="20"/>
          <w:szCs w:val="20"/>
        </w:rPr>
      </w:pPr>
      <w:r w:rsidRPr="008A1CBA">
        <w:rPr>
          <w:sz w:val="20"/>
          <w:szCs w:val="20"/>
        </w:rPr>
        <w:t>Rezultate analize imunohistokemijske reakci</w:t>
      </w:r>
      <w:r>
        <w:rPr>
          <w:sz w:val="20"/>
          <w:szCs w:val="20"/>
        </w:rPr>
        <w:t xml:space="preserve">je obzirom na imunoreaktivni skor (IRS, engl. immunoreactivity score) </w:t>
      </w:r>
      <w:r w:rsidR="00624F0E">
        <w:rPr>
          <w:sz w:val="20"/>
          <w:szCs w:val="20"/>
        </w:rPr>
        <w:t>pokazuje</w:t>
      </w:r>
      <w:r w:rsidR="007751CF">
        <w:rPr>
          <w:sz w:val="20"/>
          <w:szCs w:val="20"/>
        </w:rPr>
        <w:t xml:space="preserve"> slika 7</w:t>
      </w:r>
      <w:r w:rsidR="00624F0E">
        <w:rPr>
          <w:sz w:val="20"/>
          <w:szCs w:val="20"/>
        </w:rPr>
        <w:t>.</w:t>
      </w:r>
    </w:p>
    <w:p w:rsidR="00624F0E" w:rsidRDefault="00624F0E" w:rsidP="009750D6">
      <w:pPr>
        <w:spacing w:line="360" w:lineRule="auto"/>
        <w:jc w:val="both"/>
        <w:rPr>
          <w:sz w:val="20"/>
          <w:szCs w:val="20"/>
        </w:rPr>
      </w:pPr>
      <w:r>
        <w:rPr>
          <w:sz w:val="20"/>
          <w:szCs w:val="20"/>
        </w:rPr>
        <w:t>Za tumore test normaliteta Shapiro-Wilk = 0</w:t>
      </w:r>
      <w:r w:rsidRPr="00624F0E">
        <w:rPr>
          <w:sz w:val="20"/>
          <w:szCs w:val="20"/>
        </w:rPr>
        <w:t>.756</w:t>
      </w:r>
      <w:r>
        <w:rPr>
          <w:sz w:val="20"/>
          <w:szCs w:val="20"/>
        </w:rPr>
        <w:t>, df</w:t>
      </w:r>
      <w:r w:rsidRPr="00624F0E">
        <w:rPr>
          <w:sz w:val="20"/>
          <w:szCs w:val="20"/>
        </w:rPr>
        <w:tab/>
      </w:r>
      <w:r>
        <w:rPr>
          <w:sz w:val="20"/>
          <w:szCs w:val="20"/>
        </w:rPr>
        <w:t>= 19, p = 0</w:t>
      </w:r>
      <w:r w:rsidRPr="00624F0E">
        <w:rPr>
          <w:sz w:val="20"/>
          <w:szCs w:val="20"/>
        </w:rPr>
        <w:t>.000</w:t>
      </w:r>
    </w:p>
    <w:p w:rsidR="00624F0E" w:rsidRDefault="00624F0E" w:rsidP="009750D6">
      <w:pPr>
        <w:spacing w:line="360" w:lineRule="auto"/>
        <w:jc w:val="both"/>
        <w:rPr>
          <w:sz w:val="20"/>
          <w:szCs w:val="20"/>
        </w:rPr>
      </w:pPr>
      <w:r>
        <w:rPr>
          <w:sz w:val="20"/>
          <w:szCs w:val="20"/>
        </w:rPr>
        <w:t>Za kontrole test normaliteta Shapiro-Wilk = 0.803, df = 19, p = 0.001</w:t>
      </w:r>
    </w:p>
    <w:p w:rsidR="008A1CBA" w:rsidRDefault="00624F0E" w:rsidP="009750D6">
      <w:pPr>
        <w:spacing w:line="360" w:lineRule="auto"/>
        <w:jc w:val="both"/>
        <w:rPr>
          <w:sz w:val="20"/>
          <w:szCs w:val="20"/>
        </w:rPr>
      </w:pPr>
      <w:r>
        <w:rPr>
          <w:sz w:val="20"/>
          <w:szCs w:val="20"/>
        </w:rPr>
        <w:t>Razlika u imunoreaktivnom skoru između dviju skupina uzoraka je statistički značajna. Podaci su neparametrijski raspoređeni.</w:t>
      </w:r>
    </w:p>
    <w:p w:rsidR="003A3A94" w:rsidRDefault="00624F0E" w:rsidP="009750D6">
      <w:pPr>
        <w:spacing w:line="360" w:lineRule="auto"/>
        <w:jc w:val="both"/>
        <w:rPr>
          <w:sz w:val="20"/>
          <w:szCs w:val="20"/>
        </w:rPr>
      </w:pPr>
      <w:r>
        <w:rPr>
          <w:sz w:val="20"/>
          <w:szCs w:val="20"/>
        </w:rPr>
        <w:t>Neparametrijski Kruskall-</w:t>
      </w:r>
      <w:r w:rsidR="003A3A94">
        <w:rPr>
          <w:sz w:val="20"/>
          <w:szCs w:val="20"/>
        </w:rPr>
        <w:t xml:space="preserve">Wallis test = 17.472, df = 1, p = </w:t>
      </w:r>
      <w:r w:rsidR="003A3A94" w:rsidRPr="003A3A94">
        <w:rPr>
          <w:sz w:val="20"/>
          <w:szCs w:val="20"/>
        </w:rPr>
        <w:t>0.000029</w:t>
      </w:r>
      <w:r w:rsidR="003A3A94">
        <w:rPr>
          <w:sz w:val="20"/>
          <w:szCs w:val="20"/>
        </w:rPr>
        <w:t>,</w:t>
      </w:r>
      <w:r w:rsidR="003A3A94" w:rsidRPr="003A3A94">
        <w:rPr>
          <w:sz w:val="20"/>
          <w:szCs w:val="20"/>
        </w:rPr>
        <w:t xml:space="preserve"> odnosno p&lt;0.0001</w:t>
      </w:r>
      <w:r w:rsidR="003A3A94">
        <w:rPr>
          <w:sz w:val="20"/>
          <w:szCs w:val="20"/>
        </w:rPr>
        <w:t>. Postoji statistički značajna razlika u IRS između dviju skupina ispitanika.</w:t>
      </w:r>
    </w:p>
    <w:p w:rsidR="009047ED" w:rsidRDefault="009047ED" w:rsidP="009047ED">
      <w:pPr>
        <w:keepNext/>
      </w:pPr>
      <w:r>
        <w:rPr>
          <w:noProof/>
          <w:sz w:val="20"/>
          <w:szCs w:val="20"/>
          <w:lang w:eastAsia="hr-HR"/>
        </w:rPr>
        <w:lastRenderedPageBreak/>
        <w:drawing>
          <wp:inline distT="0" distB="0" distL="0" distR="0" wp14:anchorId="149074E0" wp14:editId="04E077C4">
            <wp:extent cx="3754800" cy="2880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S.png"/>
                    <pic:cNvPicPr/>
                  </pic:nvPicPr>
                  <pic:blipFill>
                    <a:blip r:embed="rId16">
                      <a:extLst>
                        <a:ext uri="{28A0092B-C50C-407E-A947-70E740481C1C}">
                          <a14:useLocalDpi xmlns:a14="http://schemas.microsoft.com/office/drawing/2010/main" val="0"/>
                        </a:ext>
                      </a:extLst>
                    </a:blip>
                    <a:stretch>
                      <a:fillRect/>
                    </a:stretch>
                  </pic:blipFill>
                  <pic:spPr>
                    <a:xfrm>
                      <a:off x="0" y="0"/>
                      <a:ext cx="3754800" cy="2880000"/>
                    </a:xfrm>
                    <a:prstGeom prst="rect">
                      <a:avLst/>
                    </a:prstGeom>
                  </pic:spPr>
                </pic:pic>
              </a:graphicData>
            </a:graphic>
          </wp:inline>
        </w:drawing>
      </w:r>
    </w:p>
    <w:p w:rsidR="009047ED" w:rsidRPr="008E2F42" w:rsidRDefault="009047ED" w:rsidP="009047ED">
      <w:pPr>
        <w:pStyle w:val="Caption"/>
        <w:rPr>
          <w:b w:val="0"/>
          <w:color w:val="auto"/>
        </w:rPr>
      </w:pPr>
      <w:r w:rsidRPr="008E2F42">
        <w:rPr>
          <w:b w:val="0"/>
          <w:color w:val="auto"/>
        </w:rPr>
        <w:t xml:space="preserve">             Slika </w:t>
      </w:r>
      <w:r w:rsidRPr="008E2F42">
        <w:rPr>
          <w:b w:val="0"/>
          <w:color w:val="auto"/>
        </w:rPr>
        <w:fldChar w:fldCharType="begin"/>
      </w:r>
      <w:r w:rsidRPr="008E2F42">
        <w:rPr>
          <w:b w:val="0"/>
          <w:color w:val="auto"/>
        </w:rPr>
        <w:instrText xml:space="preserve"> SEQ Slika \* ARABIC </w:instrText>
      </w:r>
      <w:r w:rsidRPr="008E2F42">
        <w:rPr>
          <w:b w:val="0"/>
          <w:color w:val="auto"/>
        </w:rPr>
        <w:fldChar w:fldCharType="separate"/>
      </w:r>
      <w:r w:rsidR="00B23F9B">
        <w:rPr>
          <w:b w:val="0"/>
          <w:noProof/>
          <w:color w:val="auto"/>
        </w:rPr>
        <w:t>7</w:t>
      </w:r>
      <w:r w:rsidRPr="008E2F42">
        <w:rPr>
          <w:b w:val="0"/>
          <w:color w:val="auto"/>
        </w:rPr>
        <w:fldChar w:fldCharType="end"/>
      </w:r>
      <w:r w:rsidRPr="008E2F42">
        <w:rPr>
          <w:b w:val="0"/>
          <w:color w:val="auto"/>
        </w:rPr>
        <w:t>.</w:t>
      </w:r>
      <w:r w:rsidR="007751CF">
        <w:rPr>
          <w:b w:val="0"/>
          <w:color w:val="auto"/>
        </w:rPr>
        <w:t xml:space="preserve"> Imunoreaktivni skor.</w:t>
      </w:r>
    </w:p>
    <w:p w:rsidR="009047ED" w:rsidRDefault="009047ED" w:rsidP="009047ED"/>
    <w:p w:rsidR="009047ED" w:rsidRDefault="008E2F42" w:rsidP="009750D6">
      <w:pPr>
        <w:spacing w:line="360" w:lineRule="auto"/>
        <w:jc w:val="both"/>
        <w:rPr>
          <w:sz w:val="20"/>
          <w:szCs w:val="20"/>
        </w:rPr>
      </w:pPr>
      <w:r w:rsidRPr="008E2F42">
        <w:rPr>
          <w:sz w:val="20"/>
          <w:szCs w:val="20"/>
        </w:rPr>
        <w:t>U rezultatima qRT-PCR-a nije uočena statistički značajna razlika u ekspresiji PTX3 mRNA između tumorskog tki</w:t>
      </w:r>
      <w:r w:rsidR="007751CF">
        <w:rPr>
          <w:sz w:val="20"/>
          <w:szCs w:val="20"/>
        </w:rPr>
        <w:t>va i kontrolnih uzoraka (Slika 8</w:t>
      </w:r>
      <w:r w:rsidRPr="008E2F42">
        <w:rPr>
          <w:sz w:val="20"/>
          <w:szCs w:val="20"/>
        </w:rPr>
        <w:t>.).</w:t>
      </w:r>
    </w:p>
    <w:p w:rsidR="008E2F42" w:rsidRDefault="008E2F42" w:rsidP="008E2F42">
      <w:pPr>
        <w:keepNext/>
      </w:pPr>
      <w:r>
        <w:rPr>
          <w:noProof/>
          <w:sz w:val="20"/>
          <w:szCs w:val="20"/>
          <w:lang w:eastAsia="hr-HR"/>
        </w:rPr>
        <w:drawing>
          <wp:inline distT="0" distB="0" distL="0" distR="0" wp14:anchorId="325F4B22" wp14:editId="0CD22249">
            <wp:extent cx="6082748" cy="21150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R.png"/>
                    <pic:cNvPicPr/>
                  </pic:nvPicPr>
                  <pic:blipFill>
                    <a:blip r:embed="rId17">
                      <a:extLst>
                        <a:ext uri="{28A0092B-C50C-407E-A947-70E740481C1C}">
                          <a14:useLocalDpi xmlns:a14="http://schemas.microsoft.com/office/drawing/2010/main" val="0"/>
                        </a:ext>
                      </a:extLst>
                    </a:blip>
                    <a:stretch>
                      <a:fillRect/>
                    </a:stretch>
                  </pic:blipFill>
                  <pic:spPr>
                    <a:xfrm>
                      <a:off x="0" y="0"/>
                      <a:ext cx="6105693" cy="2123025"/>
                    </a:xfrm>
                    <a:prstGeom prst="rect">
                      <a:avLst/>
                    </a:prstGeom>
                  </pic:spPr>
                </pic:pic>
              </a:graphicData>
            </a:graphic>
          </wp:inline>
        </w:drawing>
      </w:r>
    </w:p>
    <w:p w:rsidR="008E2F42" w:rsidRPr="008E2F42" w:rsidRDefault="008E2F42" w:rsidP="008E2F42">
      <w:pPr>
        <w:pStyle w:val="Caption"/>
        <w:spacing w:line="360" w:lineRule="auto"/>
        <w:jc w:val="both"/>
        <w:rPr>
          <w:b w:val="0"/>
          <w:color w:val="auto"/>
          <w:sz w:val="20"/>
          <w:szCs w:val="20"/>
        </w:rPr>
      </w:pPr>
      <w:r w:rsidRPr="008E2F42">
        <w:rPr>
          <w:b w:val="0"/>
          <w:color w:val="auto"/>
        </w:rPr>
        <w:t xml:space="preserve">Slika </w:t>
      </w:r>
      <w:r w:rsidRPr="008E2F42">
        <w:rPr>
          <w:b w:val="0"/>
          <w:color w:val="auto"/>
        </w:rPr>
        <w:fldChar w:fldCharType="begin"/>
      </w:r>
      <w:r w:rsidRPr="008E2F42">
        <w:rPr>
          <w:b w:val="0"/>
          <w:color w:val="auto"/>
        </w:rPr>
        <w:instrText xml:space="preserve"> SEQ Slika \* ARABIC </w:instrText>
      </w:r>
      <w:r w:rsidRPr="008E2F42">
        <w:rPr>
          <w:b w:val="0"/>
          <w:color w:val="auto"/>
        </w:rPr>
        <w:fldChar w:fldCharType="separate"/>
      </w:r>
      <w:r w:rsidR="00B23F9B">
        <w:rPr>
          <w:b w:val="0"/>
          <w:noProof/>
          <w:color w:val="auto"/>
        </w:rPr>
        <w:t>8</w:t>
      </w:r>
      <w:r w:rsidRPr="008E2F42">
        <w:rPr>
          <w:b w:val="0"/>
          <w:color w:val="auto"/>
        </w:rPr>
        <w:fldChar w:fldCharType="end"/>
      </w:r>
      <w:r w:rsidRPr="008E2F42">
        <w:rPr>
          <w:b w:val="0"/>
          <w:color w:val="auto"/>
        </w:rPr>
        <w:t>. Prikaz ekspresije PTX3 mRNA u uzorcima difuznog karcinoma želudca i kontrolnom tkivu. Amplifikacijski prag qRT-PCR rea</w:t>
      </w:r>
      <w:r>
        <w:rPr>
          <w:b w:val="0"/>
          <w:color w:val="auto"/>
        </w:rPr>
        <w:t xml:space="preserve">kcije (Ct, engl. cycle treshold) određen je korištenjem </w:t>
      </w:r>
      <w:r w:rsidRPr="008E2F42">
        <w:rPr>
          <w:b w:val="0"/>
          <w:color w:val="auto"/>
        </w:rPr>
        <w:t>CFX96 softvera, a dobiveni podaci analizirani su uporabom  2-ΔΔCT metode. Relativna ekspresija ciljanog gena normalizirana je prema ekspresijskim vrijednostima gena za beta-aktin (ACTB) koji je korišten kao endogena kontrola.</w:t>
      </w:r>
    </w:p>
    <w:p w:rsidR="008E2F42" w:rsidRPr="008E2F42" w:rsidRDefault="008E2F42" w:rsidP="008E2F42">
      <w:pPr>
        <w:spacing w:line="360" w:lineRule="auto"/>
        <w:jc w:val="both"/>
        <w:rPr>
          <w:sz w:val="20"/>
          <w:szCs w:val="20"/>
        </w:rPr>
      </w:pPr>
    </w:p>
    <w:p w:rsidR="008A1CBA" w:rsidRPr="008E2F42" w:rsidRDefault="008A1CBA" w:rsidP="00100BA1">
      <w:pPr>
        <w:rPr>
          <w:sz w:val="20"/>
          <w:szCs w:val="20"/>
        </w:rPr>
      </w:pPr>
    </w:p>
    <w:p w:rsidR="008A1CBA" w:rsidRPr="008E2F42" w:rsidRDefault="008A1CBA" w:rsidP="00100BA1">
      <w:pPr>
        <w:rPr>
          <w:sz w:val="20"/>
          <w:szCs w:val="20"/>
        </w:rPr>
      </w:pPr>
    </w:p>
    <w:p w:rsidR="004745F3" w:rsidRPr="008E2F42" w:rsidRDefault="004745F3" w:rsidP="004745F3">
      <w:pPr>
        <w:keepNext/>
        <w:rPr>
          <w:sz w:val="20"/>
          <w:szCs w:val="20"/>
        </w:rPr>
      </w:pPr>
    </w:p>
    <w:p w:rsidR="007D27E3" w:rsidRPr="00F22148" w:rsidRDefault="001F2EE8" w:rsidP="00F22148">
      <w:pPr>
        <w:pStyle w:val="Heading1"/>
        <w:rPr>
          <w:szCs w:val="24"/>
        </w:rPr>
      </w:pPr>
      <w:bookmarkStart w:id="14" w:name="_Toc7695573"/>
      <w:r>
        <w:t>6. RASPRAVA</w:t>
      </w:r>
      <w:bookmarkEnd w:id="14"/>
    </w:p>
    <w:p w:rsidR="00FC5A3E" w:rsidRPr="00FC5A3E" w:rsidRDefault="00FC5A3E" w:rsidP="00FC5A3E"/>
    <w:p w:rsidR="00D37832" w:rsidRPr="00FC5A3E" w:rsidRDefault="000F0C55" w:rsidP="00FC5A3E">
      <w:pPr>
        <w:widowControl w:val="0"/>
        <w:autoSpaceDE w:val="0"/>
        <w:autoSpaceDN w:val="0"/>
        <w:adjustRightInd w:val="0"/>
        <w:spacing w:line="360" w:lineRule="auto"/>
        <w:jc w:val="both"/>
        <w:rPr>
          <w:sz w:val="20"/>
          <w:szCs w:val="20"/>
        </w:rPr>
      </w:pPr>
      <w:r w:rsidRPr="000F0C55">
        <w:rPr>
          <w:sz w:val="20"/>
          <w:szCs w:val="20"/>
        </w:rPr>
        <w:t>Cilj ovog istraživanja bio</w:t>
      </w:r>
      <w:r>
        <w:rPr>
          <w:sz w:val="20"/>
          <w:szCs w:val="20"/>
        </w:rPr>
        <w:t xml:space="preserve"> je usporediti ekspresiju gena </w:t>
      </w:r>
      <w:r w:rsidRPr="000F0C55">
        <w:rPr>
          <w:i/>
          <w:sz w:val="20"/>
          <w:szCs w:val="20"/>
        </w:rPr>
        <w:t>PTX3</w:t>
      </w:r>
      <w:r>
        <w:rPr>
          <w:sz w:val="20"/>
          <w:szCs w:val="20"/>
        </w:rPr>
        <w:t xml:space="preserve"> na </w:t>
      </w:r>
      <w:proofErr w:type="spellStart"/>
      <w:r>
        <w:rPr>
          <w:sz w:val="20"/>
          <w:szCs w:val="20"/>
        </w:rPr>
        <w:t>mRNA</w:t>
      </w:r>
      <w:proofErr w:type="spellEnd"/>
      <w:r>
        <w:rPr>
          <w:sz w:val="20"/>
          <w:szCs w:val="20"/>
        </w:rPr>
        <w:t xml:space="preserve"> i proteinskoj razini </w:t>
      </w:r>
      <w:r w:rsidRPr="000F0C55">
        <w:rPr>
          <w:sz w:val="20"/>
          <w:szCs w:val="20"/>
        </w:rPr>
        <w:t xml:space="preserve">u difuznim karcinomima želuca i kontrolnom </w:t>
      </w:r>
      <w:proofErr w:type="spellStart"/>
      <w:r w:rsidRPr="000F0C55">
        <w:rPr>
          <w:sz w:val="20"/>
          <w:szCs w:val="20"/>
        </w:rPr>
        <w:t>netumorskom</w:t>
      </w:r>
      <w:proofErr w:type="spellEnd"/>
      <w:r w:rsidRPr="000F0C55">
        <w:rPr>
          <w:sz w:val="20"/>
          <w:szCs w:val="20"/>
        </w:rPr>
        <w:t xml:space="preserve"> tkivu želuca. </w:t>
      </w:r>
      <w:r w:rsidR="0026135A" w:rsidRPr="00FC5A3E">
        <w:rPr>
          <w:sz w:val="20"/>
          <w:szCs w:val="20"/>
        </w:rPr>
        <w:t>Tumorsko tkivo pokazuje veći intenzitet obojenja i veći postotak pozitivnih stanica, tj. veću ekspresiju PTX3 proteina, u odnosu na kontrolno tkivo iako je razina mRNA ekspresije u obje skupine podjednaka. Naime, u kontrolnom tkivu izraženiji su slabi i umjereni intenzitet obojenja, kao i područja do 10%, 11 – 50% te 50 – 80% pozitivnih stanica. Nasuprot tomu, u tumorskom tkivu značajno je zastupljeniji jaki intenzitet obojenja te područja s više od 80% pozitivnih stanica, što u konačnici rezultira jačim intenzitetom imunohistokemijske reakcije u tumorskom tkivu.</w:t>
      </w:r>
      <w:r w:rsidR="009750D6">
        <w:rPr>
          <w:sz w:val="20"/>
          <w:szCs w:val="20"/>
        </w:rPr>
        <w:t xml:space="preserve"> Time je radna hipoteza potvrđena.</w:t>
      </w:r>
      <w:r w:rsidR="0026135A" w:rsidRPr="00FC5A3E">
        <w:rPr>
          <w:sz w:val="20"/>
          <w:szCs w:val="20"/>
        </w:rPr>
        <w:t xml:space="preserve"> Dosada su publicirana malobrojna istraživanja o ekspresiji PTX3 u karcinomima želuca, a nijedno nije istraživalo ulogu ovog proteina u difuznom tipu karcinoma želuc</w:t>
      </w:r>
      <w:r w:rsidR="00B8442B">
        <w:rPr>
          <w:sz w:val="20"/>
          <w:szCs w:val="20"/>
        </w:rPr>
        <w:t xml:space="preserve">a zasebno. Choi i suradnici </w:t>
      </w:r>
      <w:r w:rsidR="0026135A" w:rsidRPr="00FC5A3E">
        <w:rPr>
          <w:sz w:val="20"/>
          <w:szCs w:val="20"/>
        </w:rPr>
        <w:t>u svom su istraživanju pokazali povezanost između povećane ekspresije PTX3 ovisne o TNF-α u stanicama humanog karcinoma želuca i invazivnog potencijala tih stanica. Osim toga pokazali su i da povećana ekspresija PTX3 kemotaksijskim mehanizmima povećava regrutaciju makrofaga i njihovo vezanje za stanice želučanog karcinoma. Kako bi dodatno potvrdili tu povezanost, ekspresija PTX3 utišana je pomoću siRNA što je rezultiralo smanjenjem kemotaksije makrofaga. Uzevši u obzir da je regrutacija makrofaga važna odrednica progresije tumor</w:t>
      </w:r>
      <w:r w:rsidR="00E67E82" w:rsidRPr="00FC5A3E">
        <w:rPr>
          <w:sz w:val="20"/>
          <w:szCs w:val="20"/>
        </w:rPr>
        <w:t>a i metastatskog potencijala</w:t>
      </w:r>
      <w:r w:rsidR="0026135A" w:rsidRPr="00FC5A3E">
        <w:rPr>
          <w:sz w:val="20"/>
          <w:szCs w:val="20"/>
        </w:rPr>
        <w:t>, moguće je da upravo tim mehanizmom PTX3 povećava invazivni potencijal tumorskih stanica. Ista skupina autora našla je povećanu ekspresiju PTX3 u koštanim metastazama humanog karcinoma želuca koje su povezane s osteolitičkom destrukcijom kosti. Povećana ekspresija PTX3 kao rezultat aktivacije sustava BDNF/TrkB povećava ekspresiju RANKL u osteoblastima i s</w:t>
      </w:r>
      <w:r w:rsidR="004F24E8">
        <w:rPr>
          <w:sz w:val="20"/>
          <w:szCs w:val="20"/>
        </w:rPr>
        <w:t xml:space="preserve">timulira osteoklastogenezu </w:t>
      </w:r>
      <w:r w:rsidR="00B8442B">
        <w:rPr>
          <w:sz w:val="20"/>
          <w:szCs w:val="20"/>
        </w:rPr>
        <w:t xml:space="preserve">. </w:t>
      </w:r>
      <w:r w:rsidR="0026135A" w:rsidRPr="00FC5A3E">
        <w:rPr>
          <w:sz w:val="20"/>
          <w:szCs w:val="20"/>
        </w:rPr>
        <w:t>Slični učinci PTX3 opisani su i u koštanim m</w:t>
      </w:r>
      <w:r w:rsidR="00B8442B">
        <w:rPr>
          <w:sz w:val="20"/>
          <w:szCs w:val="20"/>
        </w:rPr>
        <w:t xml:space="preserve">etastazama karcinoma dojke. </w:t>
      </w:r>
      <w:r w:rsidR="0026135A" w:rsidRPr="00FC5A3E">
        <w:rPr>
          <w:sz w:val="20"/>
          <w:szCs w:val="20"/>
        </w:rPr>
        <w:t>Povećana ekspresija PTX3 proteina pronađena je u brojnim drugim zloćudnim novotvorinama  poput karcinoma pankreasa, metastatskog planocelularnog karcinoma glave i vrata ovisnog o EGF-u, karcinoma dojke, karcinoma cerviksa, glioma, liposarkoma, karcinoma p</w:t>
      </w:r>
      <w:r w:rsidR="00F22148">
        <w:rPr>
          <w:sz w:val="20"/>
          <w:szCs w:val="20"/>
        </w:rPr>
        <w:t xml:space="preserve">rostate te karcinoma pluća. </w:t>
      </w:r>
      <w:r w:rsidR="0026135A" w:rsidRPr="00FC5A3E">
        <w:rPr>
          <w:sz w:val="20"/>
          <w:szCs w:val="20"/>
        </w:rPr>
        <w:t>Kronična upala predisponirajući je čimbenik za neke tipove zloćudnih novotvorina,</w:t>
      </w:r>
      <w:r w:rsidR="004F24E8">
        <w:rPr>
          <w:sz w:val="20"/>
          <w:szCs w:val="20"/>
        </w:rPr>
        <w:t xml:space="preserve"> uključujući i karcinom želuca. </w:t>
      </w:r>
      <w:r w:rsidR="0026135A" w:rsidRPr="00FC5A3E">
        <w:rPr>
          <w:sz w:val="20"/>
          <w:szCs w:val="20"/>
        </w:rPr>
        <w:t>Tumorski mikrookoliš bogat upalnim stanicama, citokinima i faktorima rasta ima važnu ulogu u različitim fazama tumorskog rasta</w:t>
      </w:r>
      <w:r w:rsidR="004F24E8">
        <w:rPr>
          <w:sz w:val="20"/>
          <w:szCs w:val="20"/>
        </w:rPr>
        <w:t xml:space="preserve">. </w:t>
      </w:r>
      <w:r w:rsidR="0026135A" w:rsidRPr="004F24E8">
        <w:rPr>
          <w:color w:val="FF0000"/>
          <w:sz w:val="20"/>
          <w:szCs w:val="20"/>
        </w:rPr>
        <w:t xml:space="preserve"> </w:t>
      </w:r>
      <w:r w:rsidR="0026135A" w:rsidRPr="00FC5A3E">
        <w:rPr>
          <w:sz w:val="20"/>
          <w:szCs w:val="20"/>
        </w:rPr>
        <w:t>Ekspresiju ovog proteina akutne faze značajno induciraju proupaln</w:t>
      </w:r>
      <w:r w:rsidR="00F22148">
        <w:rPr>
          <w:sz w:val="20"/>
          <w:szCs w:val="20"/>
        </w:rPr>
        <w:t xml:space="preserve">i citokini poput TNF-α i IL-1β. </w:t>
      </w:r>
      <w:r w:rsidR="0026135A" w:rsidRPr="00FC5A3E">
        <w:rPr>
          <w:sz w:val="20"/>
          <w:szCs w:val="20"/>
        </w:rPr>
        <w:t>Budući da PTX3 ima brojne imunoregulatorne funkcije u apoptozi, aktivaciji sustava komplementa, regr</w:t>
      </w:r>
      <w:r w:rsidR="00F22148">
        <w:rPr>
          <w:sz w:val="20"/>
          <w:szCs w:val="20"/>
        </w:rPr>
        <w:t>utaciji leukocita i angiogenezi</w:t>
      </w:r>
      <w:r w:rsidR="0026135A" w:rsidRPr="00FC5A3E">
        <w:rPr>
          <w:sz w:val="20"/>
          <w:szCs w:val="20"/>
        </w:rPr>
        <w:t>, izvjesna je  njegova uloga u upali povezanoj s tumorom. Uz povećanu ekspresiju PTX3 lokalno u tumorskom tkivu, neke su studije pokazale i povišenu serumsku razinu PTX3 kod pacijenata</w:t>
      </w:r>
      <w:r w:rsidR="00755A73" w:rsidRPr="00FC5A3E">
        <w:rPr>
          <w:sz w:val="20"/>
          <w:szCs w:val="20"/>
        </w:rPr>
        <w:t xml:space="preserve"> oboljelih od karcinoma</w:t>
      </w:r>
      <w:r w:rsidR="0026135A" w:rsidRPr="00FC5A3E">
        <w:rPr>
          <w:sz w:val="20"/>
          <w:szCs w:val="20"/>
        </w:rPr>
        <w:t xml:space="preserve"> pluća, prostate i pankreasa</w:t>
      </w:r>
      <w:r w:rsidR="004F24E8">
        <w:rPr>
          <w:sz w:val="20"/>
          <w:szCs w:val="20"/>
        </w:rPr>
        <w:t xml:space="preserve"> </w:t>
      </w:r>
      <w:r w:rsidR="004F24E8">
        <w:rPr>
          <w:sz w:val="20"/>
          <w:szCs w:val="20"/>
        </w:rPr>
        <w:fldChar w:fldCharType="begin" w:fldLock="1"/>
      </w:r>
      <w:r w:rsidR="00F41B60">
        <w:rPr>
          <w:sz w:val="20"/>
          <w:szCs w:val="20"/>
        </w:rPr>
        <w:instrText>ADDIN CSL_CITATION {"citationItems":[{"id":"ITEM-1","itemData":{"DOI":"10.1158/1078-0432.CCR-10-3024","ISSN":"10780432","abstract":"Our objective was to validate the performance of three new candidate lung cancer biomarkers, pentraxin-3 (PTX3), human kallikrein 11 (KLK11), and progranulin.","author":[{"dropping-particle":"","family":"Diamandis","given":"Eleftherios P.","non-dropping-particle":"","parse-names":false,"suffix":""},{"dropping-particle":"","family":"Goodglick","given":"Lee","non-dropping-particle":"","parse-names":false,"suffix":""},{"dropping-particle":"","family":"Planque","given":"Chris","non-dropping-particle":"","parse-names":false,"suffix":""},{"dropping-particle":"","family":"Thornquist","given":"Mark D.","non-dropping-particle":"","parse-names":false,"suffix":""}],"container-title":"Clinical Cancer Research","id":"ITEM-1","issue":"8","issued":{"date-parts":[["2011"]]},"page":"2395-2399","title":"Pentraxin-3 is a novel biomarker of lung carcinoma","type":"article-journal","volume":"17"},"uris":["http://www.mendeley.com/documents/?uuid=b86cd84d-e3f2-4802-9511-7861ff187956"]},{"id":"ITEM-2","itemData":{"DOI":"10.1002/ijc.29822","ISSN":"10970215","abstract":"There is a well-established link between inflammation and cancer of various organs, but little data are available on inflammation-associated markers of diagnostic and prognostic clinical utility in pulmonary malignancy. Blood samples were prospectively collected from 75 resectable lung cancer patients before surgery and in a cohort of 1,358 high-risk subjects. Serum levels of long pentraxin 3 (PTX3) were determined by high-sensitivity ELISA. PTX3 immunostaining was evaluated by immunohistochemistry in cancer tissue. Serum PTX3 levels in the high-risk population were not predictive of developing subsequent lung cancer or any other malignancy; however, serum PTX3 values in patients with lung cancer were significantly higher compared with cancer-free heavy smokers. With a cutoff of 4.5 ng/ml, specificity was 0.80, sensitivity 0.69, positive predictive value 0.15 and negative predictive value 0.98. The receiver operating curve (ROC) for serum PTX3 had an area under the curve (AUC) of 83.52%. Preoperative serum PTX3 levels in lung cancer patients did not correlate with patient outcome, but high interstitial expression of PTX3 in resected tumor specimens was a significant independent prognostic factor associated with shorter survival (p &lt; 0.001). These results support the potential of serum PTX3 as a lung cancer biomarker in high-risk subjects. Furthermore, PTX3 immunohistochemistry findings support the role of local inflammatory mechanisms in determining clinical outcome and suggest that local expression of PTX3 may be of prognostic utility in lung cancer patients.","author":[{"dropping-particle":"","family":"Infante","given":"Maurizio","non-dropping-particle":"","parse-names":false,"suffix":""},{"dropping-particle":"","family":"Allavena","given":"Paola","non-dropping-particle":"","parse-names":false,"suffix":""},{"dropping-particle":"","family":"Garlanda","given":"Cecilia","non-dropping-particle":"","parse-names":false,"suffix":""},{"dropping-particle":"","family":"Nebuloni","given":"Manuela","non-dropping-particle":"","parse-names":false,"suffix":""},{"dropping-particle":"","family":"Morenghi","given":"Emanuela","non-dropping-particle":"","parse-names":false,"suffix":""},{"dropping-particle":"","family":"Rahal","given":"Daoud","non-dropping-particle":"","parse-names":false,"suffix":""},{"dropping-particle":"","family":"Roncalli","given":"Massimo","non-dropping-particle":"","parse-names":false,"suffix":""},{"dropping-particle":"","family":"Cavuto","given":"Silvio","non-dropping-particle":"","parse-names":false,"suffix":""},{"dropping-particle":"","family":"Pesce","given":"Samantha","non-dropping-particle":"","parse-names":false,"suffix":""},{"dropping-particle":"","family":"Monari","given":"Marta","non-dropping-particle":"","parse-names":false,"suffix":""},{"dropping-particle":"","family":"Valaperta","given":"Serenella","non-dropping-particle":"","parse-names":false,"suffix":""},{"dropping-particle":"","family":"Montanelli","given":"Alessandro","non-dropping-particle":"","parse-names":false,"suffix":""},{"dropping-particle":"","family":"Solomon","given":"Daniel","non-dropping-particle":"","parse-names":false,"suffix":""},{"dropping-particle":"","family":"Bottoni","given":"Edoardo","non-dropping-particle":"","parse-names":false,"suffix":""},{"dropping-particle":"","family":"Errico","given":"Valentina","non-dropping-particle":"","parse-names":false,"suffix":""},{"dropping-particle":"","family":"Voulaz","given":"Emanuele","non-dropping-particle":"","parse-names":false,"suffix":""},{"dropping-particle":"","family":"Bossi","given":"Manuela","non-dropping-particle":"","parse-names":false,"suffix":""},{"dropping-particle":"","family":"Chiesa","given":"Giuseppe","non-dropping-particle":"","parse-names":false,"suffix":""},{"dropping-particle":"","family":"Passera","given":"Eliseo","non-dropping-particle":"","parse-names":false,"suffix":""},{"dropping-particle":"","family":"Mantovani","given":"Alberto","non-dropping-particle":"","parse-names":false,"suffix":""},{"dropping-particle":"","family":"Alloisio","given":"Marco","non-dropping-particle":"","parse-names":false,"suffix":""}],"container-title":"International Journal of Cancer","id":"ITEM-2","issue":"4","issued":{"date-parts":[["2016"]]},"page":"983-991","title":"Prognostic and diagnostic potential of local and circulating levels of pentraxin 3 in lung cancer patients","type":"article-journal","volume":"138"},"uris":["http://www.mendeley.com/documents/?uuid=f1719c4b-7726-400e-ac8d-2c506ddf2bd5"]},{"id":"ITEM-3","itemData":{"DOI":"10.1158/0008-5472.CAN-14-0369","ISSN":"15387445","abstract":"Pentraxin-3 (PTX3) is a member of the pentraxin family of innate immune regulators, which includes C-reactive protein (CRP). PTX3 has been implicated in angiogenesis, proliferation, and immune escape in cancer. In the present study, we evaluated PTX3 tissue expression and serum concentration as a biomarker to discriminate prostatic inflammation and benign prostatic hyperplasia (BPH) from prostate cancer, and to determine whether PTX3 status may predict progression from BPH to prostate cancer. We analyzed 40 patients with biopsy-proven BPH who underwent a second prostate biopsy 12 to 36 months later when they were diagnosed with prostate cancer or inflammation/BPH (n = 20 patients each group). Furthermore, we evaluated PTX3 serum concentrations in an independent set of patients with biopsy-proven inflammation/BPH (n = 61) and prostate cancer (n = 56). We found reduced PTX3 tissue expression in patients with prostatic inflammation/BPH compared with patients who developed prostate cancer. In the latter group, there was an increase in PTX3 tissue expression between the first and second prostate biopsy. PTX3 serum levels were also higher in patients with prostate cancer than in patients with inflammation/BPH. In contrast, there was no difference in serum PSA or CRP levels in these two groups. ROC curve analysis confirmed the reliability of PTX3 serum levels in predicting prostate cancer development, identifying a cutoff value of 3.25 ng/mL with a sensitivity and a specificity of 89.3% and 88.5%, respectively. In summary, our results encourage further evaluation of PTX3 as a tissue biopsy and blood-borne biomarker to discriminate BPH from prostate cancer. Cancer Res; 74(16); 4230-8. ©2014 AACR.","author":[{"dropping-particle":"","family":"Stallone","given":"Giovanni","non-dropping-particle":"","parse-names":false,"suffix":""},{"dropping-particle":"","family":"Cormio","given":"Luigi","non-dropping-particle":"","parse-names":false,"suffix":""},{"dropping-particle":"","family":"Netti","given":"Giuseppe Stefano","non-dropping-particle":"","parse-names":false,"suffix":""},{"dropping-particle":"","family":"Infante","given":"Barbara","non-dropping-particle":"","parse-names":false,"suffix":""},{"dropping-particle":"","family":"Selvaggio","given":"Oscar","non-dropping-particle":"","parse-names":false,"suffix":""},{"dropping-particle":"","family":"Fino","given":"Giuseppe","non-dropping-particle":"Di","parse-names":false,"suffix":""},{"dropping-particle":"","family":"Ranieri","given":"Elena","non-dropping-particle":"","parse-names":false,"suffix":""},{"dropping-particle":"","family":"Bruno","given":"Francesca","non-dropping-particle":"","parse-names":false,"suffix":""},{"dropping-particle":"","family":"Prattichizzo","given":"Clelia","non-dropping-particle":"","parse-names":false,"suffix":""},{"dropping-particle":"","family":"Sanguedolce","given":"Francesca","non-dropping-particle":"","parse-names":false,"suffix":""},{"dropping-particle":"","family":"Tortorella","given":"Simona","non-dropping-particle":"","parse-names":false,"suffix":""},{"dropping-particle":"","family":"Bufo","given":"Pantaleo","non-dropping-particle":"","parse-names":false,"suffix":""},{"dropping-particle":"","family":"Grandaliano","given":"Giuseppe","non-dropping-particle":"","parse-names":false,"suffix":""},{"dropping-particle":"","family":"Carrieri","given":"Giuseppe","non-dropping-particle":"","parse-names":false,"suffix":""}],"container-title":"Cancer Research","id":"ITEM-3","issue":"16","issued":{"date-parts":[["2014"]]},"page":"4230-4238","title":"Pentraxin 3: A novel biomarker for predicting progression from prostatic inflammation to prostate cancer","type":"article-journal","volume":"74"},"uris":["http://www.mendeley.com/documents/?uuid=f08c79a9-d91f-4892-b71c-71c6a8103a2c"]}],"mendeley":{"formattedCitation":"(Diamandis &lt;i&gt;et al.&lt;/i&gt;, 2011; Stallone &lt;i&gt;et al.&lt;/i&gt;, 2014; Infante &lt;i&gt;et al.&lt;/i&gt;, 2016)","manualFormatting":"(Diamandis i sur., 2011; Stallone i sur., 2014; Infante i sur., 2016)","plainTextFormattedCitation":"(Diamandis et al., 2011; Stallone et al., 2014; Infante et al., 2016)","previouslyFormattedCitation":"(Diamandis &lt;i&gt;et al.&lt;/i&gt;, 2011; Stallone &lt;i&gt;et al.&lt;/i&gt;, 2014; Infante &lt;i&gt;et al.&lt;/i&gt;, 2016)"},"properties":{"noteIndex":0},"schema":"https://github.com/citation-style-language/schema/raw/master/csl-citation.json"}</w:instrText>
      </w:r>
      <w:r w:rsidR="004F24E8">
        <w:rPr>
          <w:sz w:val="20"/>
          <w:szCs w:val="20"/>
        </w:rPr>
        <w:fldChar w:fldCharType="separate"/>
      </w:r>
      <w:r w:rsidR="004F24E8" w:rsidRPr="004F24E8">
        <w:rPr>
          <w:noProof/>
          <w:sz w:val="20"/>
          <w:szCs w:val="20"/>
        </w:rPr>
        <w:t xml:space="preserve">(Diamandis </w:t>
      </w:r>
      <w:r w:rsidR="003F4A87">
        <w:rPr>
          <w:i/>
          <w:noProof/>
          <w:sz w:val="20"/>
          <w:szCs w:val="20"/>
        </w:rPr>
        <w:t>i sur.,</w:t>
      </w:r>
      <w:r w:rsidR="004F24E8" w:rsidRPr="004F24E8">
        <w:rPr>
          <w:noProof/>
          <w:sz w:val="20"/>
          <w:szCs w:val="20"/>
        </w:rPr>
        <w:t xml:space="preserve"> 2011; Stallone </w:t>
      </w:r>
      <w:r w:rsidR="003F4A87">
        <w:rPr>
          <w:i/>
          <w:noProof/>
          <w:sz w:val="20"/>
          <w:szCs w:val="20"/>
        </w:rPr>
        <w:t>i sur.,</w:t>
      </w:r>
      <w:r w:rsidR="004F24E8" w:rsidRPr="004F24E8">
        <w:rPr>
          <w:noProof/>
          <w:sz w:val="20"/>
          <w:szCs w:val="20"/>
        </w:rPr>
        <w:t xml:space="preserve"> 2014; Infante </w:t>
      </w:r>
      <w:r w:rsidR="003F4A87">
        <w:rPr>
          <w:i/>
          <w:noProof/>
          <w:sz w:val="20"/>
          <w:szCs w:val="20"/>
        </w:rPr>
        <w:t>i sur.,</w:t>
      </w:r>
      <w:r w:rsidR="004F24E8" w:rsidRPr="004F24E8">
        <w:rPr>
          <w:noProof/>
          <w:sz w:val="20"/>
          <w:szCs w:val="20"/>
        </w:rPr>
        <w:t xml:space="preserve"> 2016)</w:t>
      </w:r>
      <w:r w:rsidR="004F24E8">
        <w:rPr>
          <w:sz w:val="20"/>
          <w:szCs w:val="20"/>
        </w:rPr>
        <w:fldChar w:fldCharType="end"/>
      </w:r>
      <w:r w:rsidR="004F24E8">
        <w:rPr>
          <w:sz w:val="20"/>
          <w:szCs w:val="20"/>
        </w:rPr>
        <w:t xml:space="preserve">. </w:t>
      </w:r>
      <w:r w:rsidR="0026135A" w:rsidRPr="00FC5A3E">
        <w:rPr>
          <w:sz w:val="20"/>
          <w:szCs w:val="20"/>
        </w:rPr>
        <w:t>S druge strane, PTX3 je opisan i kao ekstrinzični onkosupresor</w:t>
      </w:r>
      <w:r w:rsidR="004F24E8">
        <w:rPr>
          <w:sz w:val="20"/>
          <w:szCs w:val="20"/>
        </w:rPr>
        <w:t xml:space="preserve">, </w:t>
      </w:r>
      <w:r w:rsidR="0026135A" w:rsidRPr="00FC5A3E">
        <w:rPr>
          <w:sz w:val="20"/>
          <w:szCs w:val="20"/>
        </w:rPr>
        <w:t>a njegov deficit ima važnu ulogu u razvoju melanoma, multiplog mij</w:t>
      </w:r>
      <w:r w:rsidR="004F24E8">
        <w:rPr>
          <w:sz w:val="20"/>
          <w:szCs w:val="20"/>
        </w:rPr>
        <w:t xml:space="preserve">eloma i karcinoma prostate. </w:t>
      </w:r>
      <w:r w:rsidR="0026135A" w:rsidRPr="00FC5A3E">
        <w:rPr>
          <w:sz w:val="20"/>
          <w:szCs w:val="20"/>
        </w:rPr>
        <w:t>Uloga PTX3 u tumorigenezi još je kontroverzna. Čini se da PTX3 ima dvojaku ulogu: tumo</w:t>
      </w:r>
      <w:r w:rsidR="007023EC" w:rsidRPr="00FC5A3E">
        <w:rPr>
          <w:sz w:val="20"/>
          <w:szCs w:val="20"/>
        </w:rPr>
        <w:t xml:space="preserve">rpromotorsku i tumorsupresorsku, </w:t>
      </w:r>
      <w:r w:rsidR="0026135A" w:rsidRPr="00FC5A3E">
        <w:rPr>
          <w:sz w:val="20"/>
          <w:szCs w:val="20"/>
        </w:rPr>
        <w:t>ovisno o tipu tumora, staničnom podrijetlu i konte</w:t>
      </w:r>
      <w:r w:rsidR="004F24E8">
        <w:rPr>
          <w:sz w:val="20"/>
          <w:szCs w:val="20"/>
        </w:rPr>
        <w:t>kstu, tj. tum</w:t>
      </w:r>
      <w:r w:rsidR="00B8442B">
        <w:rPr>
          <w:sz w:val="20"/>
          <w:szCs w:val="20"/>
        </w:rPr>
        <w:t xml:space="preserve">orskom miljeu. </w:t>
      </w:r>
      <w:r w:rsidR="0026135A" w:rsidRPr="00FC5A3E">
        <w:rPr>
          <w:sz w:val="20"/>
          <w:szCs w:val="20"/>
        </w:rPr>
        <w:t>Rezultati ovog istraživanja u skladu su s rezultatima dosad publici</w:t>
      </w:r>
      <w:r w:rsidR="00755A73" w:rsidRPr="00FC5A3E">
        <w:rPr>
          <w:sz w:val="20"/>
          <w:szCs w:val="20"/>
        </w:rPr>
        <w:t>ranih istraživanja o povećanoj ekspresiji PTX3 u karcinomu</w:t>
      </w:r>
      <w:r w:rsidR="0026135A" w:rsidRPr="00FC5A3E">
        <w:rPr>
          <w:sz w:val="20"/>
          <w:szCs w:val="20"/>
        </w:rPr>
        <w:t xml:space="preserve"> želuca</w:t>
      </w:r>
      <w:r w:rsidR="00755A73" w:rsidRPr="00FC5A3E">
        <w:rPr>
          <w:sz w:val="20"/>
          <w:szCs w:val="20"/>
        </w:rPr>
        <w:t xml:space="preserve"> općenito</w:t>
      </w:r>
      <w:r w:rsidR="0026135A" w:rsidRPr="00FC5A3E">
        <w:rPr>
          <w:sz w:val="20"/>
          <w:szCs w:val="20"/>
        </w:rPr>
        <w:t>, a donose i nove spoznaje o povećanoj ekspresiji PTX3 specifično u difuznom tipu karcinoma želuca u usporedbi s kontrolnim netumorskim tkivom.</w:t>
      </w:r>
      <w:r w:rsidR="00651E5E" w:rsidRPr="00FC5A3E">
        <w:rPr>
          <w:sz w:val="20"/>
          <w:szCs w:val="20"/>
        </w:rPr>
        <w:t xml:space="preserve"> Korelacija između ekspresije PTX3 i TNM stadija difuznog karcinoma želuca nije s</w:t>
      </w:r>
      <w:r w:rsidR="00974AC4" w:rsidRPr="00FC5A3E">
        <w:rPr>
          <w:sz w:val="20"/>
          <w:szCs w:val="20"/>
        </w:rPr>
        <w:t xml:space="preserve">e mogla evaluirati jer je bolest redovito </w:t>
      </w:r>
      <w:r w:rsidR="00974AC4" w:rsidRPr="00FC5A3E">
        <w:rPr>
          <w:sz w:val="20"/>
          <w:szCs w:val="20"/>
        </w:rPr>
        <w:lastRenderedPageBreak/>
        <w:t>dijagnosticirana</w:t>
      </w:r>
      <w:r w:rsidR="00651E5E" w:rsidRPr="00FC5A3E">
        <w:rPr>
          <w:sz w:val="20"/>
          <w:szCs w:val="20"/>
        </w:rPr>
        <w:t xml:space="preserve"> u uznapredovalom stadiju.</w:t>
      </w:r>
      <w:r w:rsidR="0026135A" w:rsidRPr="00FC5A3E">
        <w:rPr>
          <w:sz w:val="20"/>
          <w:szCs w:val="20"/>
        </w:rPr>
        <w:t xml:space="preserve"> Potencijalne limitacije ovog istraživanja su retrospektivna priroda istraživanja i mali broj ispitanika. Osim toga, uzorci tkiva želuca dobiveni endoskopskim biopsijama koji su korišteni kao kontrolno netumorsko tkivo često pokazaju znakove</w:t>
      </w:r>
      <w:r w:rsidR="00790784" w:rsidRPr="00FC5A3E">
        <w:rPr>
          <w:sz w:val="20"/>
          <w:szCs w:val="20"/>
        </w:rPr>
        <w:t xml:space="preserve"> upalne infiltracije</w:t>
      </w:r>
      <w:r w:rsidR="00651E5E" w:rsidRPr="00FC5A3E">
        <w:rPr>
          <w:sz w:val="20"/>
          <w:szCs w:val="20"/>
        </w:rPr>
        <w:t xml:space="preserve">, </w:t>
      </w:r>
      <w:r w:rsidR="00DE06A1" w:rsidRPr="00FC5A3E">
        <w:rPr>
          <w:sz w:val="20"/>
          <w:szCs w:val="20"/>
        </w:rPr>
        <w:t>prvenstveno mononuklearne</w:t>
      </w:r>
      <w:r w:rsidR="00755A73" w:rsidRPr="00FC5A3E">
        <w:rPr>
          <w:sz w:val="20"/>
          <w:szCs w:val="20"/>
        </w:rPr>
        <w:t>, s patohistološkom dijagnozom kroničnog gastritisa,</w:t>
      </w:r>
      <w:r w:rsidR="0026135A" w:rsidRPr="00FC5A3E">
        <w:rPr>
          <w:sz w:val="20"/>
          <w:szCs w:val="20"/>
        </w:rPr>
        <w:t xml:space="preserve"> što može imati reperkusije na rezultate ekspresije PTX3 u tim uzorcima. Iako se ukupna incidencija karcinoma želuca progresivno smanjuje od sredine prošlog stoljeća, karcinom želuca i dalje je među deset najčešćih primarnih sijela raka i kod muškaraca i kod žena, a difuzni tip karcinoma želuca češće se javlja kod mlađih osoba, dijagnosticira se u uznapredovalom stadiju i ima lošiju prognozu. Bolje razumijevanje etiopatogeneze te unaprjeđenje dijagnostičkih i terapijskih metoda nužno je kako bi se poboljšao ishod i kvaliteta života oboljelih od karcinoma želuca.</w:t>
      </w:r>
    </w:p>
    <w:p w:rsidR="00D37832" w:rsidRPr="00FC5A3E" w:rsidRDefault="00D37832" w:rsidP="00FC5A3E">
      <w:pPr>
        <w:spacing w:line="360" w:lineRule="auto"/>
        <w:jc w:val="both"/>
        <w:rPr>
          <w:sz w:val="20"/>
          <w:szCs w:val="20"/>
        </w:rPr>
      </w:pPr>
      <w:r w:rsidRPr="00FC5A3E">
        <w:rPr>
          <w:sz w:val="20"/>
          <w:szCs w:val="20"/>
        </w:rPr>
        <w:br w:type="page"/>
      </w:r>
    </w:p>
    <w:p w:rsidR="00D37832" w:rsidRPr="00D37832" w:rsidRDefault="00D37832" w:rsidP="00D37832">
      <w:pPr>
        <w:pStyle w:val="Heading1"/>
        <w:spacing w:after="300"/>
      </w:pPr>
      <w:bookmarkStart w:id="15" w:name="_Toc7695574"/>
      <w:r>
        <w:lastRenderedPageBreak/>
        <w:t>7. ZAKLJUČCI</w:t>
      </w:r>
      <w:bookmarkEnd w:id="15"/>
    </w:p>
    <w:p w:rsidR="00D37832" w:rsidRPr="00FC5A3E" w:rsidRDefault="00D37832" w:rsidP="00FC5A3E">
      <w:pPr>
        <w:spacing w:line="360" w:lineRule="auto"/>
        <w:jc w:val="both"/>
        <w:rPr>
          <w:sz w:val="20"/>
          <w:szCs w:val="20"/>
        </w:rPr>
      </w:pPr>
      <w:r w:rsidRPr="00FC5A3E">
        <w:rPr>
          <w:sz w:val="20"/>
          <w:szCs w:val="20"/>
        </w:rPr>
        <w:t xml:space="preserve">Rezultati imunohistokemijske analize pokazali su veću ekspresiju PTX3 proteina u difuznom karcinomu želuca u odnosu na kontrolno netumorsko tkivo iako je razina mRNA ekspresije u obje skupine podjednaka. Razlog tomu je značajno zastupljeniji jaki intenzitet obojenja te područja s više od 80% pozitivnih stanica u tumorskom tkivu, dok su u kontrolnom tkivu zastupljenija područja slabijeg intenziteta obojenja i područja s manjim udjelom pozitivnih stanica. Uloga povećane ekspresije PTX3 u karcinomima želuca još nije dovoljno razjašnjena. </w:t>
      </w:r>
      <w:r w:rsidR="008E1740" w:rsidRPr="00FC5A3E">
        <w:rPr>
          <w:sz w:val="20"/>
          <w:szCs w:val="20"/>
        </w:rPr>
        <w:t>Prema r</w:t>
      </w:r>
      <w:r w:rsidRPr="00FC5A3E">
        <w:rPr>
          <w:sz w:val="20"/>
          <w:szCs w:val="20"/>
        </w:rPr>
        <w:t>ezultati</w:t>
      </w:r>
      <w:r w:rsidR="008E1740" w:rsidRPr="00FC5A3E">
        <w:rPr>
          <w:sz w:val="20"/>
          <w:szCs w:val="20"/>
        </w:rPr>
        <w:t>ma</w:t>
      </w:r>
      <w:r w:rsidRPr="00FC5A3E">
        <w:rPr>
          <w:sz w:val="20"/>
          <w:szCs w:val="20"/>
        </w:rPr>
        <w:t xml:space="preserve"> dosad publiciranih istraživanja </w:t>
      </w:r>
      <w:r w:rsidR="008E1740" w:rsidRPr="00FC5A3E">
        <w:rPr>
          <w:sz w:val="20"/>
          <w:szCs w:val="20"/>
        </w:rPr>
        <w:t xml:space="preserve">čini se </w:t>
      </w:r>
      <w:r w:rsidRPr="00FC5A3E">
        <w:rPr>
          <w:sz w:val="20"/>
          <w:szCs w:val="20"/>
        </w:rPr>
        <w:t xml:space="preserve">da </w:t>
      </w:r>
      <w:r w:rsidR="00717EEC" w:rsidRPr="00FC5A3E">
        <w:rPr>
          <w:sz w:val="20"/>
          <w:szCs w:val="20"/>
        </w:rPr>
        <w:t>povećana ekspresija PTX3 povećava invazivni potencijal</w:t>
      </w:r>
      <w:r w:rsidRPr="00FC5A3E">
        <w:rPr>
          <w:sz w:val="20"/>
          <w:szCs w:val="20"/>
        </w:rPr>
        <w:t xml:space="preserve"> stanica karcinoma želuca. Potrebna su daljnja istraživ</w:t>
      </w:r>
      <w:r w:rsidR="00717EEC" w:rsidRPr="00FC5A3E">
        <w:rPr>
          <w:sz w:val="20"/>
          <w:szCs w:val="20"/>
        </w:rPr>
        <w:t>anja kako bi se rasvijetlila stvarna uloga PTX3 u</w:t>
      </w:r>
      <w:r w:rsidRPr="00FC5A3E">
        <w:rPr>
          <w:sz w:val="20"/>
          <w:szCs w:val="20"/>
        </w:rPr>
        <w:t xml:space="preserve"> razvoj</w:t>
      </w:r>
      <w:r w:rsidR="00717EEC" w:rsidRPr="00FC5A3E">
        <w:rPr>
          <w:sz w:val="20"/>
          <w:szCs w:val="20"/>
        </w:rPr>
        <w:t>u i progresiji</w:t>
      </w:r>
      <w:r w:rsidRPr="00FC5A3E">
        <w:rPr>
          <w:sz w:val="20"/>
          <w:szCs w:val="20"/>
        </w:rPr>
        <w:t xml:space="preserve"> difuznog karcinoma želuca, ispitala mogućnost kliničke primjene PTX3 kao prognostičkog tkivnog i/ili serumskog markera te usmjerio razvoj novih protutumorskih terapijskih modaliteta čiji bio cilj bila molekula PTX3.</w:t>
      </w:r>
    </w:p>
    <w:p w:rsidR="00D37832" w:rsidRPr="00FC5A3E" w:rsidRDefault="00D37832" w:rsidP="00FC5A3E">
      <w:pPr>
        <w:spacing w:line="360" w:lineRule="auto"/>
        <w:jc w:val="both"/>
        <w:rPr>
          <w:sz w:val="20"/>
          <w:szCs w:val="20"/>
        </w:rPr>
      </w:pPr>
      <w:r w:rsidRPr="00FC5A3E">
        <w:rPr>
          <w:sz w:val="20"/>
          <w:szCs w:val="20"/>
        </w:rPr>
        <w:br w:type="page"/>
      </w:r>
    </w:p>
    <w:p w:rsidR="00DE06A1" w:rsidRDefault="00D37832" w:rsidP="00344731">
      <w:pPr>
        <w:pStyle w:val="Heading1"/>
        <w:spacing w:after="300"/>
      </w:pPr>
      <w:bookmarkStart w:id="16" w:name="_Toc7695575"/>
      <w:r>
        <w:lastRenderedPageBreak/>
        <w:t>8. ZAHVALE</w:t>
      </w:r>
      <w:bookmarkEnd w:id="16"/>
    </w:p>
    <w:p w:rsidR="00F529BC" w:rsidRPr="00FC5A3E" w:rsidRDefault="00F529BC" w:rsidP="00FC5A3E">
      <w:pPr>
        <w:spacing w:line="360" w:lineRule="auto"/>
        <w:jc w:val="both"/>
        <w:rPr>
          <w:sz w:val="20"/>
          <w:szCs w:val="20"/>
        </w:rPr>
      </w:pPr>
      <w:r w:rsidRPr="00FC5A3E">
        <w:rPr>
          <w:sz w:val="20"/>
          <w:szCs w:val="20"/>
        </w:rPr>
        <w:t>Zahvaljujem svojoj mentorici</w:t>
      </w:r>
      <w:r w:rsidR="001E5DFA">
        <w:rPr>
          <w:sz w:val="20"/>
          <w:szCs w:val="20"/>
        </w:rPr>
        <w:t xml:space="preserve"> prof. dr. sc. Tamari Nikuševa </w:t>
      </w:r>
      <w:r w:rsidRPr="00FC5A3E">
        <w:rPr>
          <w:sz w:val="20"/>
          <w:szCs w:val="20"/>
        </w:rPr>
        <w:t xml:space="preserve">Martić na </w:t>
      </w:r>
      <w:r w:rsidR="00344731" w:rsidRPr="00FC5A3E">
        <w:rPr>
          <w:sz w:val="20"/>
          <w:szCs w:val="20"/>
        </w:rPr>
        <w:t xml:space="preserve">poticaju i prilici za samostalni istraživački rad, na nesebičnom dijeljenju znanja i iskustva te onog najdragocjenijeg – vlastitog vremena. </w:t>
      </w:r>
    </w:p>
    <w:p w:rsidR="00344731" w:rsidRPr="00FC5A3E" w:rsidRDefault="00344731" w:rsidP="00FC5A3E">
      <w:pPr>
        <w:spacing w:line="360" w:lineRule="auto"/>
        <w:jc w:val="both"/>
        <w:rPr>
          <w:sz w:val="20"/>
          <w:szCs w:val="20"/>
        </w:rPr>
      </w:pPr>
      <w:r w:rsidRPr="00FC5A3E">
        <w:rPr>
          <w:sz w:val="20"/>
          <w:szCs w:val="20"/>
        </w:rPr>
        <w:t>Zahvaljujem doc. dr. sc. Frani Paiću na uloženom trudu i</w:t>
      </w:r>
      <w:r w:rsidR="00B3186F" w:rsidRPr="00FC5A3E">
        <w:rPr>
          <w:sz w:val="20"/>
          <w:szCs w:val="20"/>
        </w:rPr>
        <w:t xml:space="preserve"> konstruktivnim savjetima.</w:t>
      </w:r>
      <w:r w:rsidR="003E3942" w:rsidRPr="00FC5A3E">
        <w:rPr>
          <w:sz w:val="20"/>
          <w:szCs w:val="20"/>
        </w:rPr>
        <w:t xml:space="preserve"> </w:t>
      </w:r>
      <w:r w:rsidRPr="00FC5A3E">
        <w:rPr>
          <w:sz w:val="20"/>
          <w:szCs w:val="20"/>
        </w:rPr>
        <w:t xml:space="preserve"> </w:t>
      </w:r>
    </w:p>
    <w:p w:rsidR="00E32580" w:rsidRPr="00FC5A3E" w:rsidRDefault="00E32580" w:rsidP="00FC5A3E">
      <w:pPr>
        <w:spacing w:line="360" w:lineRule="auto"/>
        <w:jc w:val="both"/>
        <w:rPr>
          <w:sz w:val="20"/>
          <w:szCs w:val="20"/>
        </w:rPr>
      </w:pPr>
      <w:r w:rsidRPr="00FC5A3E">
        <w:rPr>
          <w:sz w:val="20"/>
          <w:szCs w:val="20"/>
        </w:rPr>
        <w:t xml:space="preserve">Hvala mojoj obitelji na </w:t>
      </w:r>
      <w:r w:rsidR="003E3942" w:rsidRPr="00FC5A3E">
        <w:rPr>
          <w:sz w:val="20"/>
          <w:szCs w:val="20"/>
        </w:rPr>
        <w:t xml:space="preserve">podršci i razumijevanju u svim fazama </w:t>
      </w:r>
      <w:r w:rsidRPr="00FC5A3E">
        <w:rPr>
          <w:sz w:val="20"/>
          <w:szCs w:val="20"/>
        </w:rPr>
        <w:t>obrazovanja.</w:t>
      </w:r>
    </w:p>
    <w:p w:rsidR="00E32580" w:rsidRPr="00FC5A3E" w:rsidRDefault="00E32580" w:rsidP="00FC5A3E">
      <w:pPr>
        <w:spacing w:line="360" w:lineRule="auto"/>
        <w:jc w:val="both"/>
        <w:rPr>
          <w:sz w:val="20"/>
          <w:szCs w:val="20"/>
        </w:rPr>
      </w:pPr>
      <w:r w:rsidRPr="00FC5A3E">
        <w:rPr>
          <w:sz w:val="20"/>
          <w:szCs w:val="20"/>
        </w:rPr>
        <w:t xml:space="preserve">I na kraju, hvala </w:t>
      </w:r>
      <w:r w:rsidRPr="00FC5A3E">
        <w:rPr>
          <w:i/>
          <w:sz w:val="20"/>
          <w:szCs w:val="20"/>
        </w:rPr>
        <w:t>njemu</w:t>
      </w:r>
      <w:r w:rsidRPr="00FC5A3E">
        <w:rPr>
          <w:sz w:val="20"/>
          <w:szCs w:val="20"/>
        </w:rPr>
        <w:t xml:space="preserve">, dr. Nikoli Zagorcu, najvećem kritičaru, a ujedno i najvećoj motivaciji, čija je </w:t>
      </w:r>
      <w:r w:rsidR="00EE2A5A" w:rsidRPr="00FC5A3E">
        <w:rPr>
          <w:sz w:val="20"/>
          <w:szCs w:val="20"/>
        </w:rPr>
        <w:t>potpora</w:t>
      </w:r>
      <w:r w:rsidRPr="00FC5A3E">
        <w:rPr>
          <w:sz w:val="20"/>
          <w:szCs w:val="20"/>
        </w:rPr>
        <w:t xml:space="preserve"> bezuvjetna, a pomoć neprocjenjiva.</w:t>
      </w:r>
    </w:p>
    <w:p w:rsidR="00DE06A1" w:rsidRPr="00DE06A1" w:rsidRDefault="00DE06A1" w:rsidP="00DE06A1"/>
    <w:p w:rsidR="00D37832" w:rsidRDefault="00D37832">
      <w:pPr>
        <w:rPr>
          <w:rFonts w:eastAsiaTheme="majorEastAsia" w:cstheme="majorBidi"/>
          <w:b/>
          <w:bCs/>
          <w:szCs w:val="28"/>
        </w:rPr>
      </w:pPr>
      <w:r>
        <w:br w:type="page"/>
      </w:r>
    </w:p>
    <w:p w:rsidR="00FC5A3E" w:rsidRDefault="00D37832" w:rsidP="0096585E">
      <w:pPr>
        <w:pStyle w:val="Heading1"/>
      </w:pPr>
      <w:bookmarkStart w:id="17" w:name="_Toc7695576"/>
      <w:r>
        <w:lastRenderedPageBreak/>
        <w:t>9. POPIS LITERATURE</w:t>
      </w:r>
      <w:bookmarkEnd w:id="17"/>
    </w:p>
    <w:p w:rsidR="00F41B60" w:rsidRDefault="00F41B60"/>
    <w:p w:rsidR="009C742C" w:rsidRPr="009C742C" w:rsidRDefault="00F41B60" w:rsidP="009C742C">
      <w:pPr>
        <w:widowControl w:val="0"/>
        <w:autoSpaceDE w:val="0"/>
        <w:autoSpaceDN w:val="0"/>
        <w:adjustRightInd w:val="0"/>
        <w:spacing w:line="240" w:lineRule="auto"/>
        <w:rPr>
          <w:rFonts w:cs="Times New Roman"/>
          <w:noProof/>
          <w:sz w:val="20"/>
          <w:szCs w:val="24"/>
        </w:rPr>
      </w:pPr>
      <w:r w:rsidRPr="00F41B60">
        <w:rPr>
          <w:sz w:val="20"/>
          <w:szCs w:val="20"/>
        </w:rPr>
        <w:fldChar w:fldCharType="begin" w:fldLock="1"/>
      </w:r>
      <w:r w:rsidRPr="00F41B60">
        <w:rPr>
          <w:sz w:val="20"/>
          <w:szCs w:val="20"/>
        </w:rPr>
        <w:instrText xml:space="preserve">ADDIN Mendeley Bibliography CSL_BIBLIOGRAPHY </w:instrText>
      </w:r>
      <w:r w:rsidRPr="00F41B60">
        <w:rPr>
          <w:sz w:val="20"/>
          <w:szCs w:val="20"/>
        </w:rPr>
        <w:fldChar w:fldCharType="separate"/>
      </w:r>
      <w:r w:rsidR="009C742C" w:rsidRPr="009C742C">
        <w:rPr>
          <w:rFonts w:cs="Times New Roman"/>
          <w:noProof/>
          <w:sz w:val="20"/>
          <w:szCs w:val="24"/>
        </w:rPr>
        <w:t xml:space="preserve">Abderrahim-Ferkoune, A. </w:t>
      </w:r>
      <w:r w:rsidR="009C742C" w:rsidRPr="009C742C">
        <w:rPr>
          <w:rFonts w:cs="Times New Roman"/>
          <w:i/>
          <w:iCs/>
          <w:noProof/>
          <w:sz w:val="20"/>
          <w:szCs w:val="24"/>
        </w:rPr>
        <w:t>et al.</w:t>
      </w:r>
      <w:r w:rsidR="009C742C" w:rsidRPr="009C742C">
        <w:rPr>
          <w:rFonts w:cs="Times New Roman"/>
          <w:noProof/>
          <w:sz w:val="20"/>
          <w:szCs w:val="24"/>
        </w:rPr>
        <w:t xml:space="preserve"> (2003) ‘Characterization of the long pentraxin PTX3 as a TNFα-induced secreted protein of adipose cells’, </w:t>
      </w:r>
      <w:r w:rsidR="009C742C" w:rsidRPr="009C742C">
        <w:rPr>
          <w:rFonts w:cs="Times New Roman"/>
          <w:i/>
          <w:iCs/>
          <w:noProof/>
          <w:sz w:val="20"/>
          <w:szCs w:val="24"/>
        </w:rPr>
        <w:t>Journal of Lipid Research</w:t>
      </w:r>
      <w:r w:rsidR="009C742C" w:rsidRPr="009C742C">
        <w:rPr>
          <w:rFonts w:cs="Times New Roman"/>
          <w:noProof/>
          <w:sz w:val="20"/>
          <w:szCs w:val="24"/>
        </w:rPr>
        <w:t>, 44(5), pp. 994–1000. doi: 10.1194/jlr.m200382-jlr200.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Balakrishnan, M. </w:t>
      </w:r>
      <w:r w:rsidRPr="009C742C">
        <w:rPr>
          <w:rFonts w:cs="Times New Roman"/>
          <w:i/>
          <w:iCs/>
          <w:noProof/>
          <w:sz w:val="20"/>
          <w:szCs w:val="24"/>
        </w:rPr>
        <w:t>et al.</w:t>
      </w:r>
      <w:r w:rsidRPr="009C742C">
        <w:rPr>
          <w:rFonts w:cs="Times New Roman"/>
          <w:noProof/>
          <w:sz w:val="20"/>
          <w:szCs w:val="24"/>
        </w:rPr>
        <w:t xml:space="preserve"> (2017) ‘Changing Trends in Stomach Cancer Throughout the World’, </w:t>
      </w:r>
      <w:r w:rsidRPr="009C742C">
        <w:rPr>
          <w:rFonts w:cs="Times New Roman"/>
          <w:i/>
          <w:iCs/>
          <w:noProof/>
          <w:sz w:val="20"/>
          <w:szCs w:val="24"/>
        </w:rPr>
        <w:t>Current Gastroenterology Reports</w:t>
      </w:r>
      <w:r w:rsidRPr="009C742C">
        <w:rPr>
          <w:rFonts w:cs="Times New Roman"/>
          <w:noProof/>
          <w:sz w:val="20"/>
          <w:szCs w:val="24"/>
        </w:rPr>
        <w:t>. Current Gastroenterology Reports, 19(8). doi: 10.1007/s11894-017-0575-8.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Balkwill, F. and Mantovani, A. (2001) ‘Inflammation and cancer: Back to Virchow?’, </w:t>
      </w:r>
      <w:r w:rsidRPr="009C742C">
        <w:rPr>
          <w:rFonts w:cs="Times New Roman"/>
          <w:i/>
          <w:iCs/>
          <w:noProof/>
          <w:sz w:val="20"/>
          <w:szCs w:val="24"/>
        </w:rPr>
        <w:t>Lancet</w:t>
      </w:r>
      <w:r w:rsidRPr="009C742C">
        <w:rPr>
          <w:rFonts w:cs="Times New Roman"/>
          <w:noProof/>
          <w:sz w:val="20"/>
          <w:szCs w:val="24"/>
        </w:rPr>
        <w:t>, 357(9255), pp. 539–545. doi: 10.1016/S0140-6736(00)04046-0.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Basile, A. </w:t>
      </w:r>
      <w:r w:rsidRPr="009C742C">
        <w:rPr>
          <w:rFonts w:cs="Times New Roman"/>
          <w:i/>
          <w:iCs/>
          <w:noProof/>
          <w:sz w:val="20"/>
          <w:szCs w:val="24"/>
        </w:rPr>
        <w:t>et al.</w:t>
      </w:r>
      <w:r w:rsidRPr="009C742C">
        <w:rPr>
          <w:rFonts w:cs="Times New Roman"/>
          <w:noProof/>
          <w:sz w:val="20"/>
          <w:szCs w:val="24"/>
        </w:rPr>
        <w:t xml:space="preserve"> (2013) ‘Pentraxin 3 (PTX3) inhibits plasma cell/stromal cell cross-talk in the bone marrow of multiple myeloma patients’, </w:t>
      </w:r>
      <w:r w:rsidRPr="009C742C">
        <w:rPr>
          <w:rFonts w:cs="Times New Roman"/>
          <w:i/>
          <w:iCs/>
          <w:noProof/>
          <w:sz w:val="20"/>
          <w:szCs w:val="24"/>
        </w:rPr>
        <w:t>Journal of Pathology</w:t>
      </w:r>
      <w:r w:rsidRPr="009C742C">
        <w:rPr>
          <w:rFonts w:cs="Times New Roman"/>
          <w:noProof/>
          <w:sz w:val="20"/>
          <w:szCs w:val="24"/>
        </w:rPr>
        <w:t>, 229(1), pp. 87–98. doi: 10.1002/path.4081.</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Biswas, S. K. and Mantovani, A. (2010) ‘Macrophage plasticity and interaction with lymphocyte subsets: Cancer as a paradigm’, </w:t>
      </w:r>
      <w:r w:rsidRPr="009C742C">
        <w:rPr>
          <w:rFonts w:cs="Times New Roman"/>
          <w:i/>
          <w:iCs/>
          <w:noProof/>
          <w:sz w:val="20"/>
          <w:szCs w:val="24"/>
        </w:rPr>
        <w:t>Nature Immunology</w:t>
      </w:r>
      <w:r w:rsidRPr="009C742C">
        <w:rPr>
          <w:rFonts w:cs="Times New Roman"/>
          <w:noProof/>
          <w:sz w:val="20"/>
          <w:szCs w:val="24"/>
        </w:rPr>
        <w:t>. Nature Publishing Group, 11(10), pp. 889–896. doi: 10.1038/ni.1937.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Boland, C. R. and Yurgelun, M. B. (2017) ‘Historical Perspective on Familial Gastric Cancer’, </w:t>
      </w:r>
      <w:r w:rsidRPr="009C742C">
        <w:rPr>
          <w:rFonts w:cs="Times New Roman"/>
          <w:i/>
          <w:iCs/>
          <w:noProof/>
          <w:sz w:val="20"/>
          <w:szCs w:val="24"/>
        </w:rPr>
        <w:t>Cmgh</w:t>
      </w:r>
      <w:r w:rsidRPr="009C742C">
        <w:rPr>
          <w:rFonts w:cs="Times New Roman"/>
          <w:noProof/>
          <w:sz w:val="20"/>
          <w:szCs w:val="24"/>
        </w:rPr>
        <w:t>. Elsevier Inc, 3(2), pp. 192–200. doi: 10.1016/j.jcmgh.2016.12.003.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Bonavita, E. </w:t>
      </w:r>
      <w:r w:rsidRPr="009C742C">
        <w:rPr>
          <w:rFonts w:cs="Times New Roman"/>
          <w:i/>
          <w:iCs/>
          <w:noProof/>
          <w:sz w:val="20"/>
          <w:szCs w:val="24"/>
        </w:rPr>
        <w:t>et al.</w:t>
      </w:r>
      <w:r w:rsidRPr="009C742C">
        <w:rPr>
          <w:rFonts w:cs="Times New Roman"/>
          <w:noProof/>
          <w:sz w:val="20"/>
          <w:szCs w:val="24"/>
        </w:rPr>
        <w:t xml:space="preserve"> (2015) ‘PTX3 is an extrinsic oncosuppressor regulating complement-dependent inflammation in cancer’, </w:t>
      </w:r>
      <w:r w:rsidRPr="009C742C">
        <w:rPr>
          <w:rFonts w:cs="Times New Roman"/>
          <w:i/>
          <w:iCs/>
          <w:noProof/>
          <w:sz w:val="20"/>
          <w:szCs w:val="24"/>
        </w:rPr>
        <w:t>Cell</w:t>
      </w:r>
      <w:r w:rsidRPr="009C742C">
        <w:rPr>
          <w:rFonts w:cs="Times New Roman"/>
          <w:noProof/>
          <w:sz w:val="20"/>
          <w:szCs w:val="24"/>
        </w:rPr>
        <w:t>, 160(4), pp. 700–714. doi: 10.1016/j.cell.2015.01.004.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Bottazzi, B. </w:t>
      </w:r>
      <w:r w:rsidRPr="009C742C">
        <w:rPr>
          <w:rFonts w:cs="Times New Roman"/>
          <w:i/>
          <w:iCs/>
          <w:noProof/>
          <w:sz w:val="20"/>
          <w:szCs w:val="24"/>
        </w:rPr>
        <w:t>et al.</w:t>
      </w:r>
      <w:r w:rsidRPr="009C742C">
        <w:rPr>
          <w:rFonts w:cs="Times New Roman"/>
          <w:noProof/>
          <w:sz w:val="20"/>
          <w:szCs w:val="24"/>
        </w:rPr>
        <w:t xml:space="preserve"> (2002) ‘Multimer Formation and Ligand Recognition by the Long Pentraxin PTX3’, </w:t>
      </w:r>
      <w:r w:rsidRPr="009C742C">
        <w:rPr>
          <w:rFonts w:cs="Times New Roman"/>
          <w:i/>
          <w:iCs/>
          <w:noProof/>
          <w:sz w:val="20"/>
          <w:szCs w:val="24"/>
        </w:rPr>
        <w:t>Journal of Biological Chemistry</w:t>
      </w:r>
      <w:r w:rsidRPr="009C742C">
        <w:rPr>
          <w:rFonts w:cs="Times New Roman"/>
          <w:noProof/>
          <w:sz w:val="20"/>
          <w:szCs w:val="24"/>
        </w:rPr>
        <w:t>, 272(52), pp. 32817–32823. doi: 10.1074/jbc.272.52.32817.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Bottazzi, B. </w:t>
      </w:r>
      <w:r w:rsidRPr="009C742C">
        <w:rPr>
          <w:rFonts w:cs="Times New Roman"/>
          <w:i/>
          <w:iCs/>
          <w:noProof/>
          <w:sz w:val="20"/>
          <w:szCs w:val="24"/>
        </w:rPr>
        <w:t>et al.</w:t>
      </w:r>
      <w:r w:rsidRPr="009C742C">
        <w:rPr>
          <w:rFonts w:cs="Times New Roman"/>
          <w:noProof/>
          <w:sz w:val="20"/>
          <w:szCs w:val="24"/>
        </w:rPr>
        <w:t xml:space="preserve"> (2009) ‘An Integrated View of Humoral Innate Immunity: Pentraxins as a Paradigm’, </w:t>
      </w:r>
      <w:r w:rsidRPr="009C742C">
        <w:rPr>
          <w:rFonts w:cs="Times New Roman"/>
          <w:i/>
          <w:iCs/>
          <w:noProof/>
          <w:sz w:val="20"/>
          <w:szCs w:val="24"/>
        </w:rPr>
        <w:t>Annual Review of Immunology</w:t>
      </w:r>
      <w:r w:rsidRPr="009C742C">
        <w:rPr>
          <w:rFonts w:cs="Times New Roman"/>
          <w:noProof/>
          <w:sz w:val="20"/>
          <w:szCs w:val="24"/>
        </w:rPr>
        <w:t>, 28(1), pp. 157–183. doi: 10.1146/annurev-immunol-030409-101305.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Bray, F. </w:t>
      </w:r>
      <w:r w:rsidRPr="009C742C">
        <w:rPr>
          <w:rFonts w:cs="Times New Roman"/>
          <w:i/>
          <w:iCs/>
          <w:noProof/>
          <w:sz w:val="20"/>
          <w:szCs w:val="24"/>
        </w:rPr>
        <w:t>et al.</w:t>
      </w:r>
      <w:r w:rsidRPr="009C742C">
        <w:rPr>
          <w:rFonts w:cs="Times New Roman"/>
          <w:noProof/>
          <w:sz w:val="20"/>
          <w:szCs w:val="24"/>
        </w:rPr>
        <w:t xml:space="preserve"> (2018) ‘Global cancer statistics 2018: GLOBOCAN estimates of incidence and mortality worldwide for 36 cancers in 185 countries.’, </w:t>
      </w:r>
      <w:r w:rsidRPr="009C742C">
        <w:rPr>
          <w:rFonts w:cs="Times New Roman"/>
          <w:i/>
          <w:iCs/>
          <w:noProof/>
          <w:sz w:val="20"/>
          <w:szCs w:val="24"/>
        </w:rPr>
        <w:t>CA: a cancer journal for clinicians</w:t>
      </w:r>
      <w:r w:rsidRPr="009C742C">
        <w:rPr>
          <w:rFonts w:cs="Times New Roman"/>
          <w:noProof/>
          <w:sz w:val="20"/>
          <w:szCs w:val="24"/>
        </w:rPr>
        <w:t>, 68(6), pp. 394–424. doi: 10.3322/caac.21492.</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Breviario, F. </w:t>
      </w:r>
      <w:r w:rsidRPr="009C742C">
        <w:rPr>
          <w:rFonts w:cs="Times New Roman"/>
          <w:i/>
          <w:iCs/>
          <w:noProof/>
          <w:sz w:val="20"/>
          <w:szCs w:val="24"/>
        </w:rPr>
        <w:t>et al.</w:t>
      </w:r>
      <w:r w:rsidRPr="009C742C">
        <w:rPr>
          <w:rFonts w:cs="Times New Roman"/>
          <w:noProof/>
          <w:sz w:val="20"/>
          <w:szCs w:val="24"/>
        </w:rPr>
        <w:t xml:space="preserve"> (1992) ‘Interleukin-1-inducible genes in endothelial cells’, </w:t>
      </w:r>
      <w:r w:rsidRPr="009C742C">
        <w:rPr>
          <w:rFonts w:cs="Times New Roman"/>
          <w:i/>
          <w:iCs/>
          <w:noProof/>
          <w:sz w:val="20"/>
          <w:szCs w:val="24"/>
        </w:rPr>
        <w:t>The Journal of Biological Chemistry</w:t>
      </w:r>
      <w:r w:rsidRPr="009C742C">
        <w:rPr>
          <w:rFonts w:cs="Times New Roman"/>
          <w:noProof/>
          <w:sz w:val="20"/>
          <w:szCs w:val="24"/>
        </w:rPr>
        <w:t>, 267(31), pp. 22190–22197.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Chang, W.-C. </w:t>
      </w:r>
      <w:r w:rsidRPr="009C742C">
        <w:rPr>
          <w:rFonts w:cs="Times New Roman"/>
          <w:i/>
          <w:iCs/>
          <w:noProof/>
          <w:sz w:val="20"/>
          <w:szCs w:val="24"/>
        </w:rPr>
        <w:t>et al.</w:t>
      </w:r>
      <w:r w:rsidRPr="009C742C">
        <w:rPr>
          <w:rFonts w:cs="Times New Roman"/>
          <w:noProof/>
          <w:sz w:val="20"/>
          <w:szCs w:val="24"/>
        </w:rPr>
        <w:t xml:space="preserve"> (2015) ‘PTX3 gene activation in EGF-induced head and neck cancer cell metastasis’, </w:t>
      </w:r>
      <w:r w:rsidRPr="009C742C">
        <w:rPr>
          <w:rFonts w:cs="Times New Roman"/>
          <w:i/>
          <w:iCs/>
          <w:noProof/>
          <w:sz w:val="20"/>
          <w:szCs w:val="24"/>
        </w:rPr>
        <w:t>Oncotarget</w:t>
      </w:r>
      <w:r w:rsidRPr="009C742C">
        <w:rPr>
          <w:rFonts w:cs="Times New Roman"/>
          <w:noProof/>
          <w:sz w:val="20"/>
          <w:szCs w:val="24"/>
        </w:rPr>
        <w:t>, 6(10). doi: 10.18632/oncotarget.3482.</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Choi, B. </w:t>
      </w:r>
      <w:r w:rsidRPr="009C742C">
        <w:rPr>
          <w:rFonts w:cs="Times New Roman"/>
          <w:i/>
          <w:iCs/>
          <w:noProof/>
          <w:sz w:val="20"/>
          <w:szCs w:val="24"/>
        </w:rPr>
        <w:t>et al.</w:t>
      </w:r>
      <w:r w:rsidRPr="009C742C">
        <w:rPr>
          <w:rFonts w:cs="Times New Roman"/>
          <w:noProof/>
          <w:sz w:val="20"/>
          <w:szCs w:val="24"/>
        </w:rPr>
        <w:t xml:space="preserve"> (2014) ‘Oncotarget 481 www.impactjournals.com/oncotarget Elevated Pentraxin 3 in bone metastatic breast cancer is correlated with osteolytic function’, </w:t>
      </w:r>
      <w:r w:rsidRPr="009C742C">
        <w:rPr>
          <w:rFonts w:cs="Times New Roman"/>
          <w:i/>
          <w:iCs/>
          <w:noProof/>
          <w:sz w:val="20"/>
          <w:szCs w:val="24"/>
        </w:rPr>
        <w:t>Oncotarget</w:t>
      </w:r>
      <w:r w:rsidRPr="009C742C">
        <w:rPr>
          <w:rFonts w:cs="Times New Roman"/>
          <w:noProof/>
          <w:sz w:val="20"/>
          <w:szCs w:val="24"/>
        </w:rPr>
        <w:t>, 5(2).</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Choi, B. </w:t>
      </w:r>
      <w:r w:rsidRPr="009C742C">
        <w:rPr>
          <w:rFonts w:cs="Times New Roman"/>
          <w:i/>
          <w:iCs/>
          <w:noProof/>
          <w:sz w:val="20"/>
          <w:szCs w:val="24"/>
        </w:rPr>
        <w:t>et al.</w:t>
      </w:r>
      <w:r w:rsidRPr="009C742C">
        <w:rPr>
          <w:rFonts w:cs="Times New Roman"/>
          <w:noProof/>
          <w:sz w:val="20"/>
          <w:szCs w:val="24"/>
        </w:rPr>
        <w:t xml:space="preserve"> (2015) ‘Pentraxin-3 silencing suppresses gastric cancer-related inflammation by inhibiting chemotactic migration of macrophages’, </w:t>
      </w:r>
      <w:r w:rsidRPr="009C742C">
        <w:rPr>
          <w:rFonts w:cs="Times New Roman"/>
          <w:i/>
          <w:iCs/>
          <w:noProof/>
          <w:sz w:val="20"/>
          <w:szCs w:val="24"/>
        </w:rPr>
        <w:t>Anticancer Research</w:t>
      </w:r>
      <w:r w:rsidRPr="009C742C">
        <w:rPr>
          <w:rFonts w:cs="Times New Roman"/>
          <w:noProof/>
          <w:sz w:val="20"/>
          <w:szCs w:val="24"/>
        </w:rPr>
        <w:t>, 35(5), pp. 2663–2668.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Choi, B. </w:t>
      </w:r>
      <w:r w:rsidRPr="009C742C">
        <w:rPr>
          <w:rFonts w:cs="Times New Roman"/>
          <w:i/>
          <w:iCs/>
          <w:noProof/>
          <w:sz w:val="20"/>
          <w:szCs w:val="24"/>
        </w:rPr>
        <w:t>et al.</w:t>
      </w:r>
      <w:r w:rsidRPr="009C742C">
        <w:rPr>
          <w:rFonts w:cs="Times New Roman"/>
          <w:noProof/>
          <w:sz w:val="20"/>
          <w:szCs w:val="24"/>
        </w:rPr>
        <w:t xml:space="preserve"> (2016) ‘Upregulation of brain-derived neurotrophic factor in advanced gastric cancer contributes to bone metastatic osteolysis by inducing long pentraxin 3’, </w:t>
      </w:r>
      <w:r w:rsidRPr="009C742C">
        <w:rPr>
          <w:rFonts w:cs="Times New Roman"/>
          <w:i/>
          <w:iCs/>
          <w:noProof/>
          <w:sz w:val="20"/>
          <w:szCs w:val="24"/>
        </w:rPr>
        <w:t>Oncotarget</w:t>
      </w:r>
      <w:r w:rsidRPr="009C742C">
        <w:rPr>
          <w:rFonts w:cs="Times New Roman"/>
          <w:noProof/>
          <w:sz w:val="20"/>
          <w:szCs w:val="24"/>
        </w:rPr>
        <w:t>, 7(34). doi: 10.18632/oncotarget.10747.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Deban, L. </w:t>
      </w:r>
      <w:r w:rsidRPr="009C742C">
        <w:rPr>
          <w:rFonts w:cs="Times New Roman"/>
          <w:i/>
          <w:iCs/>
          <w:noProof/>
          <w:sz w:val="20"/>
          <w:szCs w:val="24"/>
        </w:rPr>
        <w:t>et al.</w:t>
      </w:r>
      <w:r w:rsidRPr="009C742C">
        <w:rPr>
          <w:rFonts w:cs="Times New Roman"/>
          <w:noProof/>
          <w:sz w:val="20"/>
          <w:szCs w:val="24"/>
        </w:rPr>
        <w:t xml:space="preserve"> (2010) ‘Regulation of leukocyte recruitment by the long pentraxin PTX3’, </w:t>
      </w:r>
      <w:r w:rsidRPr="009C742C">
        <w:rPr>
          <w:rFonts w:cs="Times New Roman"/>
          <w:i/>
          <w:iCs/>
          <w:noProof/>
          <w:sz w:val="20"/>
          <w:szCs w:val="24"/>
        </w:rPr>
        <w:t>Nature Immunology</w:t>
      </w:r>
      <w:r w:rsidRPr="009C742C">
        <w:rPr>
          <w:rFonts w:cs="Times New Roman"/>
          <w:noProof/>
          <w:sz w:val="20"/>
          <w:szCs w:val="24"/>
        </w:rPr>
        <w:t>. Nature Publishing Group, 11(4), pp. 328–334. doi: 10.1038/ni.1854.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Deban, L. </w:t>
      </w:r>
      <w:r w:rsidRPr="009C742C">
        <w:rPr>
          <w:rFonts w:cs="Times New Roman"/>
          <w:i/>
          <w:iCs/>
          <w:noProof/>
          <w:sz w:val="20"/>
          <w:szCs w:val="24"/>
        </w:rPr>
        <w:t>et al.</w:t>
      </w:r>
      <w:r w:rsidRPr="009C742C">
        <w:rPr>
          <w:rFonts w:cs="Times New Roman"/>
          <w:noProof/>
          <w:sz w:val="20"/>
          <w:szCs w:val="24"/>
        </w:rPr>
        <w:t xml:space="preserve"> (2014) ‘Binding of the Long Pentraxin PTX3 to Factor H: Interacting Domains and Function in the Regulation of Complement Activation’, </w:t>
      </w:r>
      <w:r w:rsidRPr="009C742C">
        <w:rPr>
          <w:rFonts w:cs="Times New Roman"/>
          <w:i/>
          <w:iCs/>
          <w:noProof/>
          <w:sz w:val="20"/>
          <w:szCs w:val="24"/>
        </w:rPr>
        <w:t>The Journal of Immunology</w:t>
      </w:r>
      <w:r w:rsidRPr="009C742C">
        <w:rPr>
          <w:rFonts w:cs="Times New Roman"/>
          <w:noProof/>
          <w:sz w:val="20"/>
          <w:szCs w:val="24"/>
        </w:rPr>
        <w:t>, 181(12), pp. 8433–8440. doi: 10.4049/jimmunol.181.12.8433.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Diamandis, E. P. </w:t>
      </w:r>
      <w:r w:rsidRPr="009C742C">
        <w:rPr>
          <w:rFonts w:cs="Times New Roman"/>
          <w:i/>
          <w:iCs/>
          <w:noProof/>
          <w:sz w:val="20"/>
          <w:szCs w:val="24"/>
        </w:rPr>
        <w:t>et al.</w:t>
      </w:r>
      <w:r w:rsidRPr="009C742C">
        <w:rPr>
          <w:rFonts w:cs="Times New Roman"/>
          <w:noProof/>
          <w:sz w:val="20"/>
          <w:szCs w:val="24"/>
        </w:rPr>
        <w:t xml:space="preserve"> (2011) ‘Pentraxin-3 is a novel biomarker of lung carcinoma’, </w:t>
      </w:r>
      <w:r w:rsidRPr="009C742C">
        <w:rPr>
          <w:rFonts w:cs="Times New Roman"/>
          <w:i/>
          <w:iCs/>
          <w:noProof/>
          <w:sz w:val="20"/>
          <w:szCs w:val="24"/>
        </w:rPr>
        <w:t>Clinical Cancer Research</w:t>
      </w:r>
      <w:r w:rsidRPr="009C742C">
        <w:rPr>
          <w:rFonts w:cs="Times New Roman"/>
          <w:noProof/>
          <w:sz w:val="20"/>
          <w:szCs w:val="24"/>
        </w:rPr>
        <w:t>, 17(8), pp. 2395–2399. doi: 10.1158/1078-0432.CCR-10-3024.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Doni, A. (2006) ‘Regulation of PTX3, a key component of humoral innate immunity in human dendritic cells: stimulation by IL-10 and inhibition by IFN- ’, </w:t>
      </w:r>
      <w:r w:rsidRPr="009C742C">
        <w:rPr>
          <w:rFonts w:cs="Times New Roman"/>
          <w:i/>
          <w:iCs/>
          <w:noProof/>
          <w:sz w:val="20"/>
          <w:szCs w:val="24"/>
        </w:rPr>
        <w:t>Journal of Leukocyte Biology</w:t>
      </w:r>
      <w:r w:rsidRPr="009C742C">
        <w:rPr>
          <w:rFonts w:cs="Times New Roman"/>
          <w:noProof/>
          <w:sz w:val="20"/>
          <w:szCs w:val="24"/>
        </w:rPr>
        <w:t xml:space="preserve">, 79(4), pp. 797–802. doi: </w:t>
      </w:r>
      <w:r w:rsidRPr="009C742C">
        <w:rPr>
          <w:rFonts w:cs="Times New Roman"/>
          <w:noProof/>
          <w:sz w:val="20"/>
          <w:szCs w:val="24"/>
        </w:rPr>
        <w:lastRenderedPageBreak/>
        <w:t>10.1189/jlb.0905493.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Doni, A. </w:t>
      </w:r>
      <w:r w:rsidRPr="009C742C">
        <w:rPr>
          <w:rFonts w:cs="Times New Roman"/>
          <w:i/>
          <w:iCs/>
          <w:noProof/>
          <w:sz w:val="20"/>
          <w:szCs w:val="24"/>
        </w:rPr>
        <w:t>et al.</w:t>
      </w:r>
      <w:r w:rsidRPr="009C742C">
        <w:rPr>
          <w:rFonts w:cs="Times New Roman"/>
          <w:noProof/>
          <w:sz w:val="20"/>
          <w:szCs w:val="24"/>
        </w:rPr>
        <w:t xml:space="preserve"> (2008) ‘Cell-specific regulation of PTX3 by glucocorticoid hormones in hematopoietic and nonhematopoietic cells’, </w:t>
      </w:r>
      <w:r w:rsidRPr="009C742C">
        <w:rPr>
          <w:rFonts w:cs="Times New Roman"/>
          <w:i/>
          <w:iCs/>
          <w:noProof/>
          <w:sz w:val="20"/>
          <w:szCs w:val="24"/>
        </w:rPr>
        <w:t>Journal of Biological Chemistry</w:t>
      </w:r>
      <w:r w:rsidRPr="009C742C">
        <w:rPr>
          <w:rFonts w:cs="Times New Roman"/>
          <w:noProof/>
          <w:sz w:val="20"/>
          <w:szCs w:val="24"/>
        </w:rPr>
        <w:t>, 283(44), pp. 29983–29992. doi: 10.1074/jbc.M805631200.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Doni, A. </w:t>
      </w:r>
      <w:r w:rsidRPr="009C742C">
        <w:rPr>
          <w:rFonts w:cs="Times New Roman"/>
          <w:i/>
          <w:iCs/>
          <w:noProof/>
          <w:sz w:val="20"/>
          <w:szCs w:val="24"/>
        </w:rPr>
        <w:t>et al.</w:t>
      </w:r>
      <w:r w:rsidRPr="009C742C">
        <w:rPr>
          <w:rFonts w:cs="Times New Roman"/>
          <w:noProof/>
          <w:sz w:val="20"/>
          <w:szCs w:val="24"/>
        </w:rPr>
        <w:t xml:space="preserve"> (2015) ‘An acidic microenvironment sets the humoral pattern recognition molecule PTX3 in a tissue repair mode’, </w:t>
      </w:r>
      <w:r w:rsidRPr="009C742C">
        <w:rPr>
          <w:rFonts w:cs="Times New Roman"/>
          <w:i/>
          <w:iCs/>
          <w:noProof/>
          <w:sz w:val="20"/>
          <w:szCs w:val="24"/>
        </w:rPr>
        <w:t>The Journal of Experimental Medicine</w:t>
      </w:r>
      <w:r w:rsidRPr="009C742C">
        <w:rPr>
          <w:rFonts w:cs="Times New Roman"/>
          <w:noProof/>
          <w:sz w:val="20"/>
          <w:szCs w:val="24"/>
        </w:rPr>
        <w:t>, 212(6), pp. 905–925. doi: 10.1084/jem.20141268.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Dvorak, H. F. (1986) ‘Similarities between Tumour Stroma Generation and Wound Healing’, </w:t>
      </w:r>
      <w:r w:rsidRPr="009C742C">
        <w:rPr>
          <w:rFonts w:cs="Times New Roman"/>
          <w:i/>
          <w:iCs/>
          <w:noProof/>
          <w:sz w:val="20"/>
          <w:szCs w:val="24"/>
        </w:rPr>
        <w:t>The New England Journal of Medicine</w:t>
      </w:r>
      <w:r w:rsidRPr="009C742C">
        <w:rPr>
          <w:rFonts w:cs="Times New Roman"/>
          <w:noProof/>
          <w:sz w:val="20"/>
          <w:szCs w:val="24"/>
        </w:rPr>
        <w:t>.</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Edgren, G. </w:t>
      </w:r>
      <w:r w:rsidRPr="009C742C">
        <w:rPr>
          <w:rFonts w:cs="Times New Roman"/>
          <w:i/>
          <w:iCs/>
          <w:noProof/>
          <w:sz w:val="20"/>
          <w:szCs w:val="24"/>
        </w:rPr>
        <w:t>et al.</w:t>
      </w:r>
      <w:r w:rsidRPr="009C742C">
        <w:rPr>
          <w:rFonts w:cs="Times New Roman"/>
          <w:noProof/>
          <w:sz w:val="20"/>
          <w:szCs w:val="24"/>
        </w:rPr>
        <w:t xml:space="preserve"> (2010) ‘Risk of gastric cancer and peptic ulcers in relation to ABO blood type: A cohort study’, </w:t>
      </w:r>
      <w:r w:rsidRPr="009C742C">
        <w:rPr>
          <w:rFonts w:cs="Times New Roman"/>
          <w:i/>
          <w:iCs/>
          <w:noProof/>
          <w:sz w:val="20"/>
          <w:szCs w:val="24"/>
        </w:rPr>
        <w:t>American Journal of Epidemiology</w:t>
      </w:r>
      <w:r w:rsidRPr="009C742C">
        <w:rPr>
          <w:rFonts w:cs="Times New Roman"/>
          <w:noProof/>
          <w:sz w:val="20"/>
          <w:szCs w:val="24"/>
        </w:rPr>
        <w:t>, 172(11), pp. 1280–1285. doi: 10.1093/aje/kwq299.</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Ernst, P. B. and Gold, B. D. (2000) ‘T HE D ISEASE S PECTRUM OF H ELICOBACTER P YLORI : The Immunopathogenesis of Gastroduodenal Ulcer and Gastric Cancer CONTENTS’.</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Giacomini, A. </w:t>
      </w:r>
      <w:r w:rsidRPr="009C742C">
        <w:rPr>
          <w:rFonts w:cs="Times New Roman"/>
          <w:i/>
          <w:iCs/>
          <w:noProof/>
          <w:sz w:val="20"/>
          <w:szCs w:val="24"/>
        </w:rPr>
        <w:t>et al.</w:t>
      </w:r>
      <w:r w:rsidRPr="009C742C">
        <w:rPr>
          <w:rFonts w:cs="Times New Roman"/>
          <w:noProof/>
          <w:sz w:val="20"/>
          <w:szCs w:val="24"/>
        </w:rPr>
        <w:t xml:space="preserve"> (2018) ‘Long pentraxin 3: A novel multifaceted player in cancer’, </w:t>
      </w:r>
      <w:r w:rsidRPr="009C742C">
        <w:rPr>
          <w:rFonts w:cs="Times New Roman"/>
          <w:i/>
          <w:iCs/>
          <w:noProof/>
          <w:sz w:val="20"/>
          <w:szCs w:val="24"/>
        </w:rPr>
        <w:t>Biochimica et Biophysica Acta - Reviews on Cancer</w:t>
      </w:r>
      <w:r w:rsidRPr="009C742C">
        <w:rPr>
          <w:rFonts w:cs="Times New Roman"/>
          <w:noProof/>
          <w:sz w:val="20"/>
          <w:szCs w:val="24"/>
        </w:rPr>
        <w:t>. Elsevier, 1869(1), pp. 53–63. doi: 10.1016/j.bbcan.2017.11.004.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Goodman, A. R. </w:t>
      </w:r>
      <w:r w:rsidRPr="009C742C">
        <w:rPr>
          <w:rFonts w:cs="Times New Roman"/>
          <w:i/>
          <w:iCs/>
          <w:noProof/>
          <w:sz w:val="20"/>
          <w:szCs w:val="24"/>
        </w:rPr>
        <w:t>et al.</w:t>
      </w:r>
      <w:r w:rsidRPr="009C742C">
        <w:rPr>
          <w:rFonts w:cs="Times New Roman"/>
          <w:noProof/>
          <w:sz w:val="20"/>
          <w:szCs w:val="24"/>
        </w:rPr>
        <w:t xml:space="preserve"> (2000) ‘Differential regulation of TSG-14 expression in murine fibroblasts and peritoneal macrophages’, </w:t>
      </w:r>
      <w:r w:rsidRPr="009C742C">
        <w:rPr>
          <w:rFonts w:cs="Times New Roman"/>
          <w:i/>
          <w:iCs/>
          <w:noProof/>
          <w:sz w:val="20"/>
          <w:szCs w:val="24"/>
        </w:rPr>
        <w:t>Journal of Leukocyte Biology</w:t>
      </w:r>
      <w:r w:rsidRPr="009C742C">
        <w:rPr>
          <w:rFonts w:cs="Times New Roman"/>
          <w:noProof/>
          <w:sz w:val="20"/>
          <w:szCs w:val="24"/>
        </w:rPr>
        <w:t>, 67(3), pp. 387–395. doi: 10.1002/jlb.67.3.387.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Han, B. </w:t>
      </w:r>
      <w:r w:rsidRPr="009C742C">
        <w:rPr>
          <w:rFonts w:cs="Times New Roman"/>
          <w:i/>
          <w:iCs/>
          <w:noProof/>
          <w:sz w:val="20"/>
          <w:szCs w:val="24"/>
        </w:rPr>
        <w:t>et al.</w:t>
      </w:r>
      <w:r w:rsidRPr="009C742C">
        <w:rPr>
          <w:rFonts w:cs="Times New Roman"/>
          <w:noProof/>
          <w:sz w:val="20"/>
          <w:szCs w:val="24"/>
        </w:rPr>
        <w:t xml:space="preserve"> (2014) ‘TNF -Induced Long Pentraxin PTX3 Expression in Human Lung Epithelial Cells via JNK’, </w:t>
      </w:r>
      <w:r w:rsidRPr="009C742C">
        <w:rPr>
          <w:rFonts w:cs="Times New Roman"/>
          <w:i/>
          <w:iCs/>
          <w:noProof/>
          <w:sz w:val="20"/>
          <w:szCs w:val="24"/>
        </w:rPr>
        <w:t>The Journal of Immunology</w:t>
      </w:r>
      <w:r w:rsidRPr="009C742C">
        <w:rPr>
          <w:rFonts w:cs="Times New Roman"/>
          <w:noProof/>
          <w:sz w:val="20"/>
          <w:szCs w:val="24"/>
        </w:rPr>
        <w:t>, 175(12), pp. 8303–8311. doi: 10.4049/jimmunol.175.12.8303.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Hrvatski zavod za javno zdravstvo (2016) ‘Registar za rak Republike Hrvatske. Incidencija raka u Hrvatskoj 2014.’, (41).</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Infante, M. </w:t>
      </w:r>
      <w:r w:rsidRPr="009C742C">
        <w:rPr>
          <w:rFonts w:cs="Times New Roman"/>
          <w:i/>
          <w:iCs/>
          <w:noProof/>
          <w:sz w:val="20"/>
          <w:szCs w:val="24"/>
        </w:rPr>
        <w:t>et al.</w:t>
      </w:r>
      <w:r w:rsidRPr="009C742C">
        <w:rPr>
          <w:rFonts w:cs="Times New Roman"/>
          <w:noProof/>
          <w:sz w:val="20"/>
          <w:szCs w:val="24"/>
        </w:rPr>
        <w:t xml:space="preserve"> (2016) ‘Prognostic and diagnostic potential of local and circulating levels of pentraxin 3 in lung cancer patients’, </w:t>
      </w:r>
      <w:r w:rsidRPr="009C742C">
        <w:rPr>
          <w:rFonts w:cs="Times New Roman"/>
          <w:i/>
          <w:iCs/>
          <w:noProof/>
          <w:sz w:val="20"/>
          <w:szCs w:val="24"/>
        </w:rPr>
        <w:t>International Journal of Cancer</w:t>
      </w:r>
      <w:r w:rsidRPr="009C742C">
        <w:rPr>
          <w:rFonts w:cs="Times New Roman"/>
          <w:noProof/>
          <w:sz w:val="20"/>
          <w:szCs w:val="24"/>
        </w:rPr>
        <w:t>, 138(4), pp. 983–991. doi: 10.1002/ijc.29822.</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Klouche, M. </w:t>
      </w:r>
      <w:r w:rsidRPr="009C742C">
        <w:rPr>
          <w:rFonts w:cs="Times New Roman"/>
          <w:i/>
          <w:iCs/>
          <w:noProof/>
          <w:sz w:val="20"/>
          <w:szCs w:val="24"/>
        </w:rPr>
        <w:t>et al.</w:t>
      </w:r>
      <w:r w:rsidRPr="009C742C">
        <w:rPr>
          <w:rFonts w:cs="Times New Roman"/>
          <w:noProof/>
          <w:sz w:val="20"/>
          <w:szCs w:val="24"/>
        </w:rPr>
        <w:t xml:space="preserve"> (2004) ‘Modified atherogenic lipoproteins induce expression of pentraxin-3 by human vascular smooth muscle cells’, </w:t>
      </w:r>
      <w:r w:rsidRPr="009C742C">
        <w:rPr>
          <w:rFonts w:cs="Times New Roman"/>
          <w:i/>
          <w:iCs/>
          <w:noProof/>
          <w:sz w:val="20"/>
          <w:szCs w:val="24"/>
        </w:rPr>
        <w:t>Atherosclerosis</w:t>
      </w:r>
      <w:r w:rsidRPr="009C742C">
        <w:rPr>
          <w:rFonts w:cs="Times New Roman"/>
          <w:noProof/>
          <w:sz w:val="20"/>
          <w:szCs w:val="24"/>
        </w:rPr>
        <w:t>, 175(2), pp. 221–228. doi: 10.1016/j.atherosclerosis.2004.03.020.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Kondo, S. </w:t>
      </w:r>
      <w:r w:rsidRPr="009C742C">
        <w:rPr>
          <w:rFonts w:cs="Times New Roman"/>
          <w:i/>
          <w:iCs/>
          <w:noProof/>
          <w:sz w:val="20"/>
          <w:szCs w:val="24"/>
        </w:rPr>
        <w:t>et al.</w:t>
      </w:r>
      <w:r w:rsidRPr="009C742C">
        <w:rPr>
          <w:rFonts w:cs="Times New Roman"/>
          <w:noProof/>
          <w:sz w:val="20"/>
          <w:szCs w:val="24"/>
        </w:rPr>
        <w:t xml:space="preserve"> (2013) ‘Clinical impact of pentraxin family expression on prognosis of pancreatic carcinoma’, </w:t>
      </w:r>
      <w:r w:rsidRPr="009C742C">
        <w:rPr>
          <w:rFonts w:cs="Times New Roman"/>
          <w:i/>
          <w:iCs/>
          <w:noProof/>
          <w:sz w:val="20"/>
          <w:szCs w:val="24"/>
        </w:rPr>
        <w:t>British Journal of Cancer</w:t>
      </w:r>
      <w:r w:rsidRPr="009C742C">
        <w:rPr>
          <w:rFonts w:cs="Times New Roman"/>
          <w:noProof/>
          <w:sz w:val="20"/>
          <w:szCs w:val="24"/>
        </w:rPr>
        <w:t>. Nature Publishing Group, 109(3), pp. 739–746. doi: 10.1038/bjc.2013.348.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Ladeiras-Lopes, R. </w:t>
      </w:r>
      <w:r w:rsidRPr="009C742C">
        <w:rPr>
          <w:rFonts w:cs="Times New Roman"/>
          <w:i/>
          <w:iCs/>
          <w:noProof/>
          <w:sz w:val="20"/>
          <w:szCs w:val="24"/>
        </w:rPr>
        <w:t>et al.</w:t>
      </w:r>
      <w:r w:rsidRPr="009C742C">
        <w:rPr>
          <w:rFonts w:cs="Times New Roman"/>
          <w:noProof/>
          <w:sz w:val="20"/>
          <w:szCs w:val="24"/>
        </w:rPr>
        <w:t xml:space="preserve"> (2008) ‘Smoking and gastric cancer: Systematic review and meta-analysis of cohort studies’, </w:t>
      </w:r>
      <w:r w:rsidRPr="009C742C">
        <w:rPr>
          <w:rFonts w:cs="Times New Roman"/>
          <w:i/>
          <w:iCs/>
          <w:noProof/>
          <w:sz w:val="20"/>
          <w:szCs w:val="24"/>
        </w:rPr>
        <w:t>Cancer Causes and Control</w:t>
      </w:r>
      <w:r w:rsidRPr="009C742C">
        <w:rPr>
          <w:rFonts w:cs="Times New Roman"/>
          <w:noProof/>
          <w:sz w:val="20"/>
          <w:szCs w:val="24"/>
        </w:rPr>
        <w:t>, 19(7), pp. 689–701. doi: 10.1007/s10552-008-9132-y.</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LAURÉN, P. (2017) ‘the Two Histological Main Types of Gastric Carcinoma: Diffuse and So-Called Intestinal-Type Carcinoma’, </w:t>
      </w:r>
      <w:r w:rsidRPr="009C742C">
        <w:rPr>
          <w:rFonts w:cs="Times New Roman"/>
          <w:i/>
          <w:iCs/>
          <w:noProof/>
          <w:sz w:val="20"/>
          <w:szCs w:val="24"/>
        </w:rPr>
        <w:t>Acta Pathologica Microbiologica Scandinavica</w:t>
      </w:r>
      <w:r w:rsidRPr="009C742C">
        <w:rPr>
          <w:rFonts w:cs="Times New Roman"/>
          <w:noProof/>
          <w:sz w:val="20"/>
          <w:szCs w:val="24"/>
        </w:rPr>
        <w:t>, 64(1), pp. 31–49. doi: 10.1111/apm.1965.64.1.31.</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Leali, D. </w:t>
      </w:r>
      <w:r w:rsidRPr="009C742C">
        <w:rPr>
          <w:rFonts w:cs="Times New Roman"/>
          <w:i/>
          <w:iCs/>
          <w:noProof/>
          <w:sz w:val="20"/>
          <w:szCs w:val="24"/>
        </w:rPr>
        <w:t>et al.</w:t>
      </w:r>
      <w:r w:rsidRPr="009C742C">
        <w:rPr>
          <w:rFonts w:cs="Times New Roman"/>
          <w:noProof/>
          <w:sz w:val="20"/>
          <w:szCs w:val="24"/>
        </w:rPr>
        <w:t xml:space="preserve"> (2012) ‘Long Pentraxin 3/Tumor Necrosis Factor-Stimulated Gene-6 Interaction’, </w:t>
      </w:r>
      <w:r w:rsidRPr="009C742C">
        <w:rPr>
          <w:rFonts w:cs="Times New Roman"/>
          <w:i/>
          <w:iCs/>
          <w:noProof/>
          <w:sz w:val="20"/>
          <w:szCs w:val="24"/>
        </w:rPr>
        <w:t>Arteriosclerosis, Thrombosis, and Vascular Biology</w:t>
      </w:r>
      <w:r w:rsidRPr="009C742C">
        <w:rPr>
          <w:rFonts w:cs="Times New Roman"/>
          <w:noProof/>
          <w:sz w:val="20"/>
          <w:szCs w:val="24"/>
        </w:rPr>
        <w:t>, 32(3), pp. 696–703. doi: 10.1161/atvbaha.111.243998.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Lee, G. W. </w:t>
      </w:r>
      <w:r w:rsidRPr="009C742C">
        <w:rPr>
          <w:rFonts w:cs="Times New Roman"/>
          <w:i/>
          <w:iCs/>
          <w:noProof/>
          <w:sz w:val="20"/>
          <w:szCs w:val="24"/>
        </w:rPr>
        <w:t>et al.</w:t>
      </w:r>
      <w:r w:rsidRPr="009C742C">
        <w:rPr>
          <w:rFonts w:cs="Times New Roman"/>
          <w:noProof/>
          <w:sz w:val="20"/>
          <w:szCs w:val="24"/>
        </w:rPr>
        <w:t xml:space="preserve"> (2016) ‘pentraxin family of major acute phase Relationship of TSG-14 protein to the Relationship of TSG-14 Protein to the Pentraxin Family of Major Acute Phase Proteins’’, </w:t>
      </w:r>
      <w:r w:rsidRPr="009C742C">
        <w:rPr>
          <w:rFonts w:cs="Times New Roman"/>
          <w:i/>
          <w:iCs/>
          <w:noProof/>
          <w:sz w:val="20"/>
          <w:szCs w:val="24"/>
        </w:rPr>
        <w:t>J Immunol The Journal of Immunology at Nagoya City University on June The Journal of Immunology</w:t>
      </w:r>
      <w:r w:rsidRPr="009C742C">
        <w:rPr>
          <w:rFonts w:cs="Times New Roman"/>
          <w:noProof/>
          <w:sz w:val="20"/>
          <w:szCs w:val="24"/>
        </w:rPr>
        <w:t>, 153(153), pp. 3700–3707.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Locatelli, M. </w:t>
      </w:r>
      <w:r w:rsidRPr="009C742C">
        <w:rPr>
          <w:rFonts w:cs="Times New Roman"/>
          <w:i/>
          <w:iCs/>
          <w:noProof/>
          <w:sz w:val="20"/>
          <w:szCs w:val="24"/>
        </w:rPr>
        <w:t>et al.</w:t>
      </w:r>
      <w:r w:rsidRPr="009C742C">
        <w:rPr>
          <w:rFonts w:cs="Times New Roman"/>
          <w:noProof/>
          <w:sz w:val="20"/>
          <w:szCs w:val="24"/>
        </w:rPr>
        <w:t xml:space="preserve"> (2013) ‘The long pentraxin PTX3 as a correlate of cancer-related inflammation and prognosis of malignancy in gliomas’, </w:t>
      </w:r>
      <w:r w:rsidRPr="009C742C">
        <w:rPr>
          <w:rFonts w:cs="Times New Roman"/>
          <w:i/>
          <w:iCs/>
          <w:noProof/>
          <w:sz w:val="20"/>
          <w:szCs w:val="24"/>
        </w:rPr>
        <w:t>Journal of Neuroimmunology</w:t>
      </w:r>
      <w:r w:rsidRPr="009C742C">
        <w:rPr>
          <w:rFonts w:cs="Times New Roman"/>
          <w:noProof/>
          <w:sz w:val="20"/>
          <w:szCs w:val="24"/>
        </w:rPr>
        <w:t>. Elsevier B.V., 260(1–2), pp. 99–106. doi: 10.1016/j.jneuroim.2013.04.009.</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Lopéz, M. L. </w:t>
      </w:r>
      <w:r w:rsidRPr="009C742C">
        <w:rPr>
          <w:rFonts w:cs="Times New Roman"/>
          <w:i/>
          <w:iCs/>
          <w:noProof/>
          <w:sz w:val="20"/>
          <w:szCs w:val="24"/>
        </w:rPr>
        <w:t>et al.</w:t>
      </w:r>
      <w:r w:rsidRPr="009C742C">
        <w:rPr>
          <w:rFonts w:cs="Times New Roman"/>
          <w:noProof/>
          <w:sz w:val="20"/>
          <w:szCs w:val="24"/>
        </w:rPr>
        <w:t xml:space="preserve"> (2014) ‘Thrombin selectively induces transcription of genes in human monocytes involved in inflammation and wound healing’, </w:t>
      </w:r>
      <w:r w:rsidRPr="009C742C">
        <w:rPr>
          <w:rFonts w:cs="Times New Roman"/>
          <w:i/>
          <w:iCs/>
          <w:noProof/>
          <w:sz w:val="20"/>
          <w:szCs w:val="24"/>
        </w:rPr>
        <w:t>Thrombosis and Haemostasis</w:t>
      </w:r>
      <w:r w:rsidRPr="009C742C">
        <w:rPr>
          <w:rFonts w:cs="Times New Roman"/>
          <w:noProof/>
          <w:sz w:val="20"/>
          <w:szCs w:val="24"/>
        </w:rPr>
        <w:t>, 112(5), pp. 992–1001. doi: 10.1160/TH14-01-0034.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Lra, M. Der </w:t>
      </w:r>
      <w:r w:rsidRPr="009C742C">
        <w:rPr>
          <w:rFonts w:cs="Times New Roman"/>
          <w:i/>
          <w:iCs/>
          <w:noProof/>
          <w:sz w:val="20"/>
          <w:szCs w:val="24"/>
        </w:rPr>
        <w:t>et al.</w:t>
      </w:r>
      <w:r w:rsidRPr="009C742C">
        <w:rPr>
          <w:rFonts w:cs="Times New Roman"/>
          <w:noProof/>
          <w:sz w:val="20"/>
          <w:szCs w:val="24"/>
        </w:rPr>
        <w:t xml:space="preserve"> (1986) ‘Immunhistochemischer Nachweis von Östrogenrezeptoren ( ER-ICA ) im </w:t>
      </w:r>
      <w:r w:rsidRPr="009C742C">
        <w:rPr>
          <w:rFonts w:cs="Times New Roman"/>
          <w:noProof/>
          <w:sz w:val="20"/>
          <w:szCs w:val="24"/>
        </w:rPr>
        <w:lastRenderedPageBreak/>
        <w:t>Mammakarzinomgewebe : Vorschlag zur einheitlichen Formulierung’, (November).</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Lu, J. </w:t>
      </w:r>
      <w:r w:rsidRPr="009C742C">
        <w:rPr>
          <w:rFonts w:cs="Times New Roman"/>
          <w:i/>
          <w:iCs/>
          <w:noProof/>
          <w:sz w:val="20"/>
          <w:szCs w:val="24"/>
        </w:rPr>
        <w:t>et al.</w:t>
      </w:r>
      <w:r w:rsidRPr="009C742C">
        <w:rPr>
          <w:rFonts w:cs="Times New Roman"/>
          <w:noProof/>
          <w:sz w:val="20"/>
          <w:szCs w:val="24"/>
        </w:rPr>
        <w:t xml:space="preserve"> (2008) ‘Structural recognition and functional activation of FcγR by innate pentraxins’, </w:t>
      </w:r>
      <w:r w:rsidRPr="009C742C">
        <w:rPr>
          <w:rFonts w:cs="Times New Roman"/>
          <w:i/>
          <w:iCs/>
          <w:noProof/>
          <w:sz w:val="20"/>
          <w:szCs w:val="24"/>
        </w:rPr>
        <w:t>Nature</w:t>
      </w:r>
      <w:r w:rsidRPr="009C742C">
        <w:rPr>
          <w:rFonts w:cs="Times New Roman"/>
          <w:noProof/>
          <w:sz w:val="20"/>
          <w:szCs w:val="24"/>
        </w:rPr>
        <w:t>. Nature Publishing Group, 456(7224), pp. 989–992. doi: 10.1038/nature07468.</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Mantovani, A. </w:t>
      </w:r>
      <w:r w:rsidRPr="009C742C">
        <w:rPr>
          <w:rFonts w:cs="Times New Roman"/>
          <w:i/>
          <w:iCs/>
          <w:noProof/>
          <w:sz w:val="20"/>
          <w:szCs w:val="24"/>
        </w:rPr>
        <w:t>et al.</w:t>
      </w:r>
      <w:r w:rsidRPr="009C742C">
        <w:rPr>
          <w:rFonts w:cs="Times New Roman"/>
          <w:noProof/>
          <w:sz w:val="20"/>
          <w:szCs w:val="24"/>
        </w:rPr>
        <w:t xml:space="preserve"> (2008) ‘Pentraxins in innate immunity: From C-reactive protein to the long pentraxin PTX3’, </w:t>
      </w:r>
      <w:r w:rsidRPr="009C742C">
        <w:rPr>
          <w:rFonts w:cs="Times New Roman"/>
          <w:i/>
          <w:iCs/>
          <w:noProof/>
          <w:sz w:val="20"/>
          <w:szCs w:val="24"/>
        </w:rPr>
        <w:t>Journal of Clinical Immunology</w:t>
      </w:r>
      <w:r w:rsidRPr="009C742C">
        <w:rPr>
          <w:rFonts w:cs="Times New Roman"/>
          <w:noProof/>
          <w:sz w:val="20"/>
          <w:szCs w:val="24"/>
        </w:rPr>
        <w:t>, 28(1), pp. 1–13. doi: 10.1007/s10875-007-9126-7.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Ming, S. </w:t>
      </w:r>
      <w:r w:rsidRPr="009C742C">
        <w:rPr>
          <w:rFonts w:ascii="Cambria Math" w:hAnsi="Cambria Math" w:cs="Cambria Math"/>
          <w:noProof/>
          <w:sz w:val="20"/>
          <w:szCs w:val="24"/>
        </w:rPr>
        <w:t>‐</w:t>
      </w:r>
      <w:r w:rsidRPr="009C742C">
        <w:rPr>
          <w:rFonts w:cs="Times New Roman"/>
          <w:noProof/>
          <w:sz w:val="20"/>
          <w:szCs w:val="24"/>
        </w:rPr>
        <w:t xml:space="preserve">C (1977) ‘Gastric carcinoma: A pathobiological classification’, </w:t>
      </w:r>
      <w:r w:rsidRPr="009C742C">
        <w:rPr>
          <w:rFonts w:cs="Times New Roman"/>
          <w:i/>
          <w:iCs/>
          <w:noProof/>
          <w:sz w:val="20"/>
          <w:szCs w:val="24"/>
        </w:rPr>
        <w:t>Cancer</w:t>
      </w:r>
      <w:r w:rsidRPr="009C742C">
        <w:rPr>
          <w:rFonts w:cs="Times New Roman"/>
          <w:noProof/>
          <w:sz w:val="20"/>
          <w:szCs w:val="24"/>
        </w:rPr>
        <w:t>, 39(6), pp. 2475–2485. doi: 10.1002/1097-0142(197706)39:6&lt;2475::AID-CNCR2820390626&gt;3.0.CO;2-L.</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Nauta, A. J. </w:t>
      </w:r>
      <w:r w:rsidRPr="009C742C">
        <w:rPr>
          <w:rFonts w:cs="Times New Roman"/>
          <w:i/>
          <w:iCs/>
          <w:noProof/>
          <w:sz w:val="20"/>
          <w:szCs w:val="24"/>
        </w:rPr>
        <w:t>et al.</w:t>
      </w:r>
      <w:r w:rsidRPr="009C742C">
        <w:rPr>
          <w:rFonts w:cs="Times New Roman"/>
          <w:noProof/>
          <w:sz w:val="20"/>
          <w:szCs w:val="24"/>
        </w:rPr>
        <w:t xml:space="preserve"> (2005) ‘Human renal epithelial cells produce the long pentraxin PTX3’, </w:t>
      </w:r>
      <w:r w:rsidRPr="009C742C">
        <w:rPr>
          <w:rFonts w:cs="Times New Roman"/>
          <w:i/>
          <w:iCs/>
          <w:noProof/>
          <w:sz w:val="20"/>
          <w:szCs w:val="24"/>
        </w:rPr>
        <w:t>Kidney International</w:t>
      </w:r>
      <w:r w:rsidRPr="009C742C">
        <w:rPr>
          <w:rFonts w:cs="Times New Roman"/>
          <w:noProof/>
          <w:sz w:val="20"/>
          <w:szCs w:val="24"/>
        </w:rPr>
        <w:t>, 67(2), pp. 543–553. doi: 10.1111/j.1523-1755.2005.67111.x.</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Ortega-Hernandez, O. D. </w:t>
      </w:r>
      <w:r w:rsidRPr="009C742C">
        <w:rPr>
          <w:rFonts w:cs="Times New Roman"/>
          <w:i/>
          <w:iCs/>
          <w:noProof/>
          <w:sz w:val="20"/>
          <w:szCs w:val="24"/>
        </w:rPr>
        <w:t>et al.</w:t>
      </w:r>
      <w:r w:rsidRPr="009C742C">
        <w:rPr>
          <w:rFonts w:cs="Times New Roman"/>
          <w:noProof/>
          <w:sz w:val="20"/>
          <w:szCs w:val="24"/>
        </w:rPr>
        <w:t xml:space="preserve"> (2009) ‘The Long Pentraxin 3 and Its Role in Autoimmunity’, </w:t>
      </w:r>
      <w:r w:rsidRPr="009C742C">
        <w:rPr>
          <w:rFonts w:cs="Times New Roman"/>
          <w:i/>
          <w:iCs/>
          <w:noProof/>
          <w:sz w:val="20"/>
          <w:szCs w:val="24"/>
        </w:rPr>
        <w:t>Seminars in Arthritis and Rheumatism</w:t>
      </w:r>
      <w:r w:rsidRPr="009C742C">
        <w:rPr>
          <w:rFonts w:cs="Times New Roman"/>
          <w:noProof/>
          <w:sz w:val="20"/>
          <w:szCs w:val="24"/>
        </w:rPr>
        <w:t>. Elsevier Inc., 39(1), pp. 38–54. doi: 10.1016/j.semarthrit.2008.03.006.</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Peng, X. </w:t>
      </w:r>
      <w:r w:rsidRPr="009C742C">
        <w:rPr>
          <w:rFonts w:cs="Times New Roman"/>
          <w:i/>
          <w:iCs/>
          <w:noProof/>
          <w:sz w:val="20"/>
          <w:szCs w:val="24"/>
        </w:rPr>
        <w:t>et al.</w:t>
      </w:r>
      <w:r w:rsidRPr="009C742C">
        <w:rPr>
          <w:rFonts w:cs="Times New Roman"/>
          <w:noProof/>
          <w:sz w:val="20"/>
          <w:szCs w:val="24"/>
        </w:rPr>
        <w:t xml:space="preserve"> (2016) ‘Accumulated promoter methylation as a potential biomarker for esophageal cancer’, </w:t>
      </w:r>
      <w:r w:rsidRPr="009C742C">
        <w:rPr>
          <w:rFonts w:cs="Times New Roman"/>
          <w:i/>
          <w:iCs/>
          <w:noProof/>
          <w:sz w:val="20"/>
          <w:szCs w:val="24"/>
        </w:rPr>
        <w:t>Oncotarget</w:t>
      </w:r>
      <w:r w:rsidRPr="009C742C">
        <w:rPr>
          <w:rFonts w:cs="Times New Roman"/>
          <w:noProof/>
          <w:sz w:val="20"/>
          <w:szCs w:val="24"/>
        </w:rPr>
        <w:t>, 8(1), pp. 679–691. doi: 10.18632/oncotarget.13510.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Polentarutti, N. </w:t>
      </w:r>
      <w:r w:rsidRPr="009C742C">
        <w:rPr>
          <w:rFonts w:cs="Times New Roman"/>
          <w:i/>
          <w:iCs/>
          <w:noProof/>
          <w:sz w:val="20"/>
          <w:szCs w:val="24"/>
        </w:rPr>
        <w:t>et al.</w:t>
      </w:r>
      <w:r w:rsidRPr="009C742C">
        <w:rPr>
          <w:rFonts w:cs="Times New Roman"/>
          <w:noProof/>
          <w:sz w:val="20"/>
          <w:szCs w:val="24"/>
        </w:rPr>
        <w:t xml:space="preserve"> (1998) ‘Interferon-γ inhibits expression of the long pentraxin PTX3 in human monocytes’, </w:t>
      </w:r>
      <w:r w:rsidRPr="009C742C">
        <w:rPr>
          <w:rFonts w:cs="Times New Roman"/>
          <w:i/>
          <w:iCs/>
          <w:noProof/>
          <w:sz w:val="20"/>
          <w:szCs w:val="24"/>
        </w:rPr>
        <w:t>European Journal of Immunology</w:t>
      </w:r>
      <w:r w:rsidRPr="009C742C">
        <w:rPr>
          <w:rFonts w:cs="Times New Roman"/>
          <w:noProof/>
          <w:sz w:val="20"/>
          <w:szCs w:val="24"/>
        </w:rPr>
        <w:t>, 28(2), pp. 496–501. doi: 10.1002/(SICI)1521-4141(199802)28:02&lt;496::AID-IMMU496&gt;3.0.CO;2-V.</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Qian, B.-Z. and Pollard, J. W. (2010) ‘Macrophage diversity enhances tumor progression and metastasis.’, </w:t>
      </w:r>
      <w:r w:rsidRPr="009C742C">
        <w:rPr>
          <w:rFonts w:cs="Times New Roman"/>
          <w:i/>
          <w:iCs/>
          <w:noProof/>
          <w:sz w:val="20"/>
          <w:szCs w:val="24"/>
        </w:rPr>
        <w:t>Cell</w:t>
      </w:r>
      <w:r w:rsidRPr="009C742C">
        <w:rPr>
          <w:rFonts w:cs="Times New Roman"/>
          <w:noProof/>
          <w:sz w:val="20"/>
          <w:szCs w:val="24"/>
        </w:rPr>
        <w:t>, 141(1), pp. 39–51. doi: 10.1016/j.cell.2010.03.014.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Ravenna, L. </w:t>
      </w:r>
      <w:r w:rsidRPr="009C742C">
        <w:rPr>
          <w:rFonts w:cs="Times New Roman"/>
          <w:i/>
          <w:iCs/>
          <w:noProof/>
          <w:sz w:val="20"/>
          <w:szCs w:val="24"/>
        </w:rPr>
        <w:t>et al.</w:t>
      </w:r>
      <w:r w:rsidRPr="009C742C">
        <w:rPr>
          <w:rFonts w:cs="Times New Roman"/>
          <w:noProof/>
          <w:sz w:val="20"/>
          <w:szCs w:val="24"/>
        </w:rPr>
        <w:t xml:space="preserve"> (2009) ‘Up-regulation of the inflammatory-reparative phenotype in human prostate carcinoma’, </w:t>
      </w:r>
      <w:r w:rsidRPr="009C742C">
        <w:rPr>
          <w:rFonts w:cs="Times New Roman"/>
          <w:i/>
          <w:iCs/>
          <w:noProof/>
          <w:sz w:val="20"/>
          <w:szCs w:val="24"/>
        </w:rPr>
        <w:t>Prostate</w:t>
      </w:r>
      <w:r w:rsidRPr="009C742C">
        <w:rPr>
          <w:rFonts w:cs="Times New Roman"/>
          <w:noProof/>
          <w:sz w:val="20"/>
          <w:szCs w:val="24"/>
        </w:rPr>
        <w:t>, 69(11), pp. 1245–1255. doi: 10.1002/pros.20966.</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Rawla, P. and Barsouk, A. (2019) ‘Epidemiology of gastric cancer: global trends, risk factors and prevention’, </w:t>
      </w:r>
      <w:r w:rsidRPr="009C742C">
        <w:rPr>
          <w:rFonts w:cs="Times New Roman"/>
          <w:i/>
          <w:iCs/>
          <w:noProof/>
          <w:sz w:val="20"/>
          <w:szCs w:val="24"/>
        </w:rPr>
        <w:t>Gastroenterology Review</w:t>
      </w:r>
      <w:r w:rsidRPr="009C742C">
        <w:rPr>
          <w:rFonts w:cs="Times New Roman"/>
          <w:noProof/>
          <w:sz w:val="20"/>
          <w:szCs w:val="24"/>
        </w:rPr>
        <w:t>, 14(1). doi: 10.5114/pg.2018.80001.</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Ronca, R. </w:t>
      </w:r>
      <w:r w:rsidRPr="009C742C">
        <w:rPr>
          <w:rFonts w:cs="Times New Roman"/>
          <w:i/>
          <w:iCs/>
          <w:noProof/>
          <w:sz w:val="20"/>
          <w:szCs w:val="24"/>
        </w:rPr>
        <w:t>et al.</w:t>
      </w:r>
      <w:r w:rsidRPr="009C742C">
        <w:rPr>
          <w:rFonts w:cs="Times New Roman"/>
          <w:noProof/>
          <w:sz w:val="20"/>
          <w:szCs w:val="24"/>
        </w:rPr>
        <w:t xml:space="preserve"> (2013) ‘Long pentraxin-3 as an epithelial-stromal fibroblast growth factor-targeting inhibitor in prostate cancer’, </w:t>
      </w:r>
      <w:r w:rsidRPr="009C742C">
        <w:rPr>
          <w:rFonts w:cs="Times New Roman"/>
          <w:i/>
          <w:iCs/>
          <w:noProof/>
          <w:sz w:val="20"/>
          <w:szCs w:val="24"/>
        </w:rPr>
        <w:t>Journal of Pathology</w:t>
      </w:r>
      <w:r w:rsidRPr="009C742C">
        <w:rPr>
          <w:rFonts w:cs="Times New Roman"/>
          <w:noProof/>
          <w:sz w:val="20"/>
          <w:szCs w:val="24"/>
        </w:rPr>
        <w:t>, 230(2), pp. 228–238. doi: 10.1002/path.4181.</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Ronca, R. </w:t>
      </w:r>
      <w:r w:rsidRPr="009C742C">
        <w:rPr>
          <w:rFonts w:cs="Times New Roman"/>
          <w:i/>
          <w:iCs/>
          <w:noProof/>
          <w:sz w:val="20"/>
          <w:szCs w:val="24"/>
        </w:rPr>
        <w:t>et al.</w:t>
      </w:r>
      <w:r w:rsidRPr="009C742C">
        <w:rPr>
          <w:rFonts w:cs="Times New Roman"/>
          <w:noProof/>
          <w:sz w:val="20"/>
          <w:szCs w:val="24"/>
        </w:rPr>
        <w:t xml:space="preserve"> (2013) ‘Long Pentraxin-3 Inhibits Epithelial-Mesenchymal Transition in Melanoma Cells’, </w:t>
      </w:r>
      <w:r w:rsidRPr="009C742C">
        <w:rPr>
          <w:rFonts w:cs="Times New Roman"/>
          <w:i/>
          <w:iCs/>
          <w:noProof/>
          <w:sz w:val="20"/>
          <w:szCs w:val="24"/>
        </w:rPr>
        <w:t>Molecular Cancer Therapeutics</w:t>
      </w:r>
      <w:r w:rsidRPr="009C742C">
        <w:rPr>
          <w:rFonts w:cs="Times New Roman"/>
          <w:noProof/>
          <w:sz w:val="20"/>
          <w:szCs w:val="24"/>
        </w:rPr>
        <w:t>, 12(12), pp. 2760–2771. doi: 10.1158/1535-7163.MCT-13-0487.</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Ronca, R. </w:t>
      </w:r>
      <w:r w:rsidRPr="009C742C">
        <w:rPr>
          <w:rFonts w:cs="Times New Roman"/>
          <w:i/>
          <w:iCs/>
          <w:noProof/>
          <w:sz w:val="20"/>
          <w:szCs w:val="24"/>
        </w:rPr>
        <w:t>et al.</w:t>
      </w:r>
      <w:r w:rsidRPr="009C742C">
        <w:rPr>
          <w:rFonts w:cs="Times New Roman"/>
          <w:noProof/>
          <w:sz w:val="20"/>
          <w:szCs w:val="24"/>
        </w:rPr>
        <w:t xml:space="preserve"> (2015) ‘Long-Pentraxin 3 Derivative as a Small-Molecule FGF Trap for Cancer Therapy’, </w:t>
      </w:r>
      <w:r w:rsidRPr="009C742C">
        <w:rPr>
          <w:rFonts w:cs="Times New Roman"/>
          <w:i/>
          <w:iCs/>
          <w:noProof/>
          <w:sz w:val="20"/>
          <w:szCs w:val="24"/>
        </w:rPr>
        <w:t>Cancer Cell</w:t>
      </w:r>
      <w:r w:rsidRPr="009C742C">
        <w:rPr>
          <w:rFonts w:cs="Times New Roman"/>
          <w:noProof/>
          <w:sz w:val="20"/>
          <w:szCs w:val="24"/>
        </w:rPr>
        <w:t>. Elsevier Inc., 28(2), pp. 225–239. doi: 10.1016/j.ccell.2015.07.002.</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Roumenina, L. T. </w:t>
      </w:r>
      <w:r w:rsidRPr="009C742C">
        <w:rPr>
          <w:rFonts w:cs="Times New Roman"/>
          <w:i/>
          <w:iCs/>
          <w:noProof/>
          <w:sz w:val="20"/>
          <w:szCs w:val="24"/>
        </w:rPr>
        <w:t>et al.</w:t>
      </w:r>
      <w:r w:rsidRPr="009C742C">
        <w:rPr>
          <w:rFonts w:cs="Times New Roman"/>
          <w:noProof/>
          <w:sz w:val="20"/>
          <w:szCs w:val="24"/>
        </w:rPr>
        <w:t xml:space="preserve"> (2006) ‘Interaction of C1q with IgG1, C-reactive protein and pentraxin 3: Mutational studies using recombinant globular head modules of human C1q A, B, and C chains’, </w:t>
      </w:r>
      <w:r w:rsidRPr="009C742C">
        <w:rPr>
          <w:rFonts w:cs="Times New Roman"/>
          <w:i/>
          <w:iCs/>
          <w:noProof/>
          <w:sz w:val="20"/>
          <w:szCs w:val="24"/>
        </w:rPr>
        <w:t>Biochemistry</w:t>
      </w:r>
      <w:r w:rsidRPr="009C742C">
        <w:rPr>
          <w:rFonts w:cs="Times New Roman"/>
          <w:noProof/>
          <w:sz w:val="20"/>
          <w:szCs w:val="24"/>
        </w:rPr>
        <w:t>, 45(13), pp. 4093–4104. doi: 10.1021/bi052646f.</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Rovere, P. </w:t>
      </w:r>
      <w:r w:rsidRPr="009C742C">
        <w:rPr>
          <w:rFonts w:cs="Times New Roman"/>
          <w:i/>
          <w:iCs/>
          <w:noProof/>
          <w:sz w:val="20"/>
          <w:szCs w:val="24"/>
        </w:rPr>
        <w:t>et al.</w:t>
      </w:r>
      <w:r w:rsidRPr="009C742C">
        <w:rPr>
          <w:rFonts w:cs="Times New Roman"/>
          <w:noProof/>
          <w:sz w:val="20"/>
          <w:szCs w:val="24"/>
        </w:rPr>
        <w:t xml:space="preserve"> (2000) ‘The long pentraxin PTX3 binds to apoptotic cells and regulates their clearance by antigen-presenting dendritic cells.’, </w:t>
      </w:r>
      <w:r w:rsidRPr="009C742C">
        <w:rPr>
          <w:rFonts w:cs="Times New Roman"/>
          <w:i/>
          <w:iCs/>
          <w:noProof/>
          <w:sz w:val="20"/>
          <w:szCs w:val="24"/>
        </w:rPr>
        <w:t>Blood</w:t>
      </w:r>
      <w:r w:rsidRPr="009C742C">
        <w:rPr>
          <w:rFonts w:cs="Times New Roman"/>
          <w:noProof/>
          <w:sz w:val="20"/>
          <w:szCs w:val="24"/>
        </w:rPr>
        <w:t>, 96(13), pp. 4300–6.</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Rubino, M. </w:t>
      </w:r>
      <w:r w:rsidRPr="009C742C">
        <w:rPr>
          <w:rFonts w:cs="Times New Roman"/>
          <w:i/>
          <w:iCs/>
          <w:noProof/>
          <w:sz w:val="20"/>
          <w:szCs w:val="24"/>
        </w:rPr>
        <w:t>et al.</w:t>
      </w:r>
      <w:r w:rsidRPr="009C742C">
        <w:rPr>
          <w:rFonts w:cs="Times New Roman"/>
          <w:noProof/>
          <w:sz w:val="20"/>
          <w:szCs w:val="24"/>
        </w:rPr>
        <w:t xml:space="preserve"> (2017) ‘Epigenetic regulation of the extrinsic oncosuppressor PTX3 gene in inflammation and cancer’, </w:t>
      </w:r>
      <w:r w:rsidRPr="009C742C">
        <w:rPr>
          <w:rFonts w:cs="Times New Roman"/>
          <w:i/>
          <w:iCs/>
          <w:noProof/>
          <w:sz w:val="20"/>
          <w:szCs w:val="24"/>
        </w:rPr>
        <w:t>OncoImmunology</w:t>
      </w:r>
      <w:r w:rsidRPr="009C742C">
        <w:rPr>
          <w:rFonts w:cs="Times New Roman"/>
          <w:noProof/>
          <w:sz w:val="20"/>
          <w:szCs w:val="24"/>
        </w:rPr>
        <w:t>, 6(7). doi: 10.1080/2162402X.2017.1333215.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Rusnati, M. </w:t>
      </w:r>
      <w:r w:rsidRPr="009C742C">
        <w:rPr>
          <w:rFonts w:cs="Times New Roman"/>
          <w:i/>
          <w:iCs/>
          <w:noProof/>
          <w:sz w:val="20"/>
          <w:szCs w:val="24"/>
        </w:rPr>
        <w:t>et al.</w:t>
      </w:r>
      <w:r w:rsidRPr="009C742C">
        <w:rPr>
          <w:rFonts w:cs="Times New Roman"/>
          <w:noProof/>
          <w:sz w:val="20"/>
          <w:szCs w:val="24"/>
        </w:rPr>
        <w:t xml:space="preserve"> (2004) ‘Selective recognition of fibroblast growth factor-2 by the long pentraxin PTX3 inhibits angiogenesis’, </w:t>
      </w:r>
      <w:r w:rsidRPr="009C742C">
        <w:rPr>
          <w:rFonts w:cs="Times New Roman"/>
          <w:i/>
          <w:iCs/>
          <w:noProof/>
          <w:sz w:val="20"/>
          <w:szCs w:val="24"/>
        </w:rPr>
        <w:t>Blood</w:t>
      </w:r>
      <w:r w:rsidRPr="009C742C">
        <w:rPr>
          <w:rFonts w:cs="Times New Roman"/>
          <w:noProof/>
          <w:sz w:val="20"/>
          <w:szCs w:val="24"/>
        </w:rPr>
        <w:t>, 104(1), pp. 92–99. doi: 10.1182/blood-2003-10-3433.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Salustri, A. (2004) ‘PTX3 plays a key role in the organization of the cumulus oophorus extracellular matrix and in in vivo fertilization’, </w:t>
      </w:r>
      <w:r w:rsidRPr="009C742C">
        <w:rPr>
          <w:rFonts w:cs="Times New Roman"/>
          <w:i/>
          <w:iCs/>
          <w:noProof/>
          <w:sz w:val="20"/>
          <w:szCs w:val="24"/>
        </w:rPr>
        <w:t>Development</w:t>
      </w:r>
      <w:r w:rsidRPr="009C742C">
        <w:rPr>
          <w:rFonts w:cs="Times New Roman"/>
          <w:noProof/>
          <w:sz w:val="20"/>
          <w:szCs w:val="24"/>
        </w:rPr>
        <w:t>, 131(7), pp. 1577–1586. doi: 10.1242/dev.01056.</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Scarchilli, L. </w:t>
      </w:r>
      <w:r w:rsidRPr="009C742C">
        <w:rPr>
          <w:rFonts w:cs="Times New Roman"/>
          <w:i/>
          <w:iCs/>
          <w:noProof/>
          <w:sz w:val="20"/>
          <w:szCs w:val="24"/>
        </w:rPr>
        <w:t>et al.</w:t>
      </w:r>
      <w:r w:rsidRPr="009C742C">
        <w:rPr>
          <w:rFonts w:cs="Times New Roman"/>
          <w:noProof/>
          <w:sz w:val="20"/>
          <w:szCs w:val="24"/>
        </w:rPr>
        <w:t xml:space="preserve"> (2007) ‘PTX3 Interacts with Inter-α-trypsin Inhibitor’, </w:t>
      </w:r>
      <w:r w:rsidRPr="009C742C">
        <w:rPr>
          <w:rFonts w:cs="Times New Roman"/>
          <w:i/>
          <w:iCs/>
          <w:noProof/>
          <w:sz w:val="20"/>
          <w:szCs w:val="24"/>
        </w:rPr>
        <w:t>Journal of Biological Chemistry</w:t>
      </w:r>
      <w:r w:rsidRPr="009C742C">
        <w:rPr>
          <w:rFonts w:cs="Times New Roman"/>
          <w:noProof/>
          <w:sz w:val="20"/>
          <w:szCs w:val="24"/>
        </w:rPr>
        <w:t>, 282(41), pp. 30161–30170. doi: 10.1074/jbc.m703738200.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Stallone, G. </w:t>
      </w:r>
      <w:r w:rsidRPr="009C742C">
        <w:rPr>
          <w:rFonts w:cs="Times New Roman"/>
          <w:i/>
          <w:iCs/>
          <w:noProof/>
          <w:sz w:val="20"/>
          <w:szCs w:val="24"/>
        </w:rPr>
        <w:t>et al.</w:t>
      </w:r>
      <w:r w:rsidRPr="009C742C">
        <w:rPr>
          <w:rFonts w:cs="Times New Roman"/>
          <w:noProof/>
          <w:sz w:val="20"/>
          <w:szCs w:val="24"/>
        </w:rPr>
        <w:t xml:space="preserve"> (2014) ‘Pentraxin 3: A novel biomarker for predicting progression from prostatic inflammation to prostate cancer’, </w:t>
      </w:r>
      <w:r w:rsidRPr="009C742C">
        <w:rPr>
          <w:rFonts w:cs="Times New Roman"/>
          <w:i/>
          <w:iCs/>
          <w:noProof/>
          <w:sz w:val="20"/>
          <w:szCs w:val="24"/>
        </w:rPr>
        <w:t>Cancer Research</w:t>
      </w:r>
      <w:r w:rsidRPr="009C742C">
        <w:rPr>
          <w:rFonts w:cs="Times New Roman"/>
          <w:noProof/>
          <w:sz w:val="20"/>
          <w:szCs w:val="24"/>
        </w:rPr>
        <w:t>, 74(16), pp. 4230–4238. doi: 10.1158/0008-5472.CAN-14-0369.</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lastRenderedPageBreak/>
        <w:t xml:space="preserve">Thomas, C. </w:t>
      </w:r>
      <w:r w:rsidRPr="009C742C">
        <w:rPr>
          <w:rFonts w:cs="Times New Roman"/>
          <w:i/>
          <w:iCs/>
          <w:noProof/>
          <w:sz w:val="20"/>
          <w:szCs w:val="24"/>
        </w:rPr>
        <w:t>et al.</w:t>
      </w:r>
      <w:r w:rsidRPr="009C742C">
        <w:rPr>
          <w:rFonts w:cs="Times New Roman"/>
          <w:noProof/>
          <w:sz w:val="20"/>
          <w:szCs w:val="24"/>
        </w:rPr>
        <w:t xml:space="preserve"> (2017) ‘Pentraxin-3 is a PI3K signaling target that promotes stem cell-like traits in basal-like breast cancers’, </w:t>
      </w:r>
      <w:r w:rsidRPr="009C742C">
        <w:rPr>
          <w:rFonts w:cs="Times New Roman"/>
          <w:i/>
          <w:iCs/>
          <w:noProof/>
          <w:sz w:val="20"/>
          <w:szCs w:val="24"/>
        </w:rPr>
        <w:t>Science Signaling</w:t>
      </w:r>
      <w:r w:rsidRPr="009C742C">
        <w:rPr>
          <w:rFonts w:cs="Times New Roman"/>
          <w:noProof/>
          <w:sz w:val="20"/>
          <w:szCs w:val="24"/>
        </w:rPr>
        <w:t>, 10(467), pp. 1–10. doi: 10.1126/scisignal.aah4674.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Tramacere, I. </w:t>
      </w:r>
      <w:r w:rsidRPr="009C742C">
        <w:rPr>
          <w:rFonts w:cs="Times New Roman"/>
          <w:i/>
          <w:iCs/>
          <w:noProof/>
          <w:sz w:val="20"/>
          <w:szCs w:val="24"/>
        </w:rPr>
        <w:t>et al.</w:t>
      </w:r>
      <w:r w:rsidRPr="009C742C">
        <w:rPr>
          <w:rFonts w:cs="Times New Roman"/>
          <w:noProof/>
          <w:sz w:val="20"/>
          <w:szCs w:val="24"/>
        </w:rPr>
        <w:t xml:space="preserve"> (2012) ‘A meta-analysis on alcohol drinking and gastric cancer risk’, </w:t>
      </w:r>
      <w:r w:rsidRPr="009C742C">
        <w:rPr>
          <w:rFonts w:cs="Times New Roman"/>
          <w:i/>
          <w:iCs/>
          <w:noProof/>
          <w:sz w:val="20"/>
          <w:szCs w:val="24"/>
        </w:rPr>
        <w:t>Annals of Oncology</w:t>
      </w:r>
      <w:r w:rsidRPr="009C742C">
        <w:rPr>
          <w:rFonts w:cs="Times New Roman"/>
          <w:noProof/>
          <w:sz w:val="20"/>
          <w:szCs w:val="24"/>
        </w:rPr>
        <w:t>, 23(1), pp. 28–36. doi: 10.1093/annonc/mdr135.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Tsugane, S. and Sasazuki, S. (2007) ‘Diet and the risk of gastric cancer: Review of epidemiological evidence’, </w:t>
      </w:r>
      <w:r w:rsidRPr="009C742C">
        <w:rPr>
          <w:rFonts w:cs="Times New Roman"/>
          <w:i/>
          <w:iCs/>
          <w:noProof/>
          <w:sz w:val="20"/>
          <w:szCs w:val="24"/>
        </w:rPr>
        <w:t>Gastric Cancer</w:t>
      </w:r>
      <w:r w:rsidRPr="009C742C">
        <w:rPr>
          <w:rFonts w:cs="Times New Roman"/>
          <w:noProof/>
          <w:sz w:val="20"/>
          <w:szCs w:val="24"/>
        </w:rPr>
        <w:t>, 10(2), pp. 75–83. doi: 10.1007/s10120-007-0420-0.</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Tung, J. N. </w:t>
      </w:r>
      <w:r w:rsidRPr="009C742C">
        <w:rPr>
          <w:rFonts w:cs="Times New Roman"/>
          <w:i/>
          <w:iCs/>
          <w:noProof/>
          <w:sz w:val="20"/>
          <w:szCs w:val="24"/>
        </w:rPr>
        <w:t>et al.</w:t>
      </w:r>
      <w:r w:rsidRPr="009C742C">
        <w:rPr>
          <w:rFonts w:cs="Times New Roman"/>
          <w:noProof/>
          <w:sz w:val="20"/>
          <w:szCs w:val="24"/>
        </w:rPr>
        <w:t xml:space="preserve"> (2016) ‘Inhibition of pentraxin 3 in glioma cells impairs proliferation and invasion in vitro and in vivo’, </w:t>
      </w:r>
      <w:r w:rsidRPr="009C742C">
        <w:rPr>
          <w:rFonts w:cs="Times New Roman"/>
          <w:i/>
          <w:iCs/>
          <w:noProof/>
          <w:sz w:val="20"/>
          <w:szCs w:val="24"/>
        </w:rPr>
        <w:t>Journal of Neuro-Oncology</w:t>
      </w:r>
      <w:r w:rsidRPr="009C742C">
        <w:rPr>
          <w:rFonts w:cs="Times New Roman"/>
          <w:noProof/>
          <w:sz w:val="20"/>
          <w:szCs w:val="24"/>
        </w:rPr>
        <w:t>. Springer US, 129(2), pp. 201–209. doi: 10.1007/s11060-016-2168-z.</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Victor, B. </w:t>
      </w:r>
      <w:r w:rsidRPr="009C742C">
        <w:rPr>
          <w:rFonts w:cs="Times New Roman"/>
          <w:i/>
          <w:iCs/>
          <w:noProof/>
          <w:sz w:val="20"/>
          <w:szCs w:val="24"/>
        </w:rPr>
        <w:t>et al.</w:t>
      </w:r>
      <w:r w:rsidRPr="009C742C">
        <w:rPr>
          <w:rFonts w:cs="Times New Roman"/>
          <w:noProof/>
          <w:sz w:val="20"/>
          <w:szCs w:val="24"/>
        </w:rPr>
        <w:t xml:space="preserve"> (2015) ‘Inducible Expression of PTX3, a New Member’, 84(10), pp. 3483–3493.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Wang, J. X. </w:t>
      </w:r>
      <w:r w:rsidRPr="009C742C">
        <w:rPr>
          <w:rFonts w:cs="Times New Roman"/>
          <w:i/>
          <w:iCs/>
          <w:noProof/>
          <w:sz w:val="20"/>
          <w:szCs w:val="24"/>
        </w:rPr>
        <w:t>et al.</w:t>
      </w:r>
      <w:r w:rsidRPr="009C742C">
        <w:rPr>
          <w:rFonts w:cs="Times New Roman"/>
          <w:noProof/>
          <w:sz w:val="20"/>
          <w:szCs w:val="24"/>
        </w:rPr>
        <w:t xml:space="preserve"> (2011) ‘Aberrant methylation of the 3q25 tumor suppressor gene PTX3 in human esophageal squamous cell carcinoma’, </w:t>
      </w:r>
      <w:r w:rsidRPr="009C742C">
        <w:rPr>
          <w:rFonts w:cs="Times New Roman"/>
          <w:i/>
          <w:iCs/>
          <w:noProof/>
          <w:sz w:val="20"/>
          <w:szCs w:val="24"/>
        </w:rPr>
        <w:t>World Journal of Gastroenterology</w:t>
      </w:r>
      <w:r w:rsidRPr="009C742C">
        <w:rPr>
          <w:rFonts w:cs="Times New Roman"/>
          <w:noProof/>
          <w:sz w:val="20"/>
          <w:szCs w:val="24"/>
        </w:rPr>
        <w:t>, 17(37), pp. 4225–4230. doi: 10.3748/wjg.v17.i37.4225.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Wang, Z. </w:t>
      </w:r>
      <w:r w:rsidRPr="009C742C">
        <w:rPr>
          <w:rFonts w:cs="Times New Roman"/>
          <w:i/>
          <w:iCs/>
          <w:noProof/>
          <w:sz w:val="20"/>
          <w:szCs w:val="24"/>
        </w:rPr>
        <w:t>et al.</w:t>
      </w:r>
      <w:r w:rsidRPr="009C742C">
        <w:rPr>
          <w:rFonts w:cs="Times New Roman"/>
          <w:noProof/>
          <w:sz w:val="20"/>
          <w:szCs w:val="24"/>
        </w:rPr>
        <w:t xml:space="preserve"> (2016) ‘Reproductive factors, hormone use and gastric cancer risk: The Singapore Chinese Health Study’, </w:t>
      </w:r>
      <w:r w:rsidRPr="009C742C">
        <w:rPr>
          <w:rFonts w:cs="Times New Roman"/>
          <w:i/>
          <w:iCs/>
          <w:noProof/>
          <w:sz w:val="20"/>
          <w:szCs w:val="24"/>
        </w:rPr>
        <w:t>International Journal of Cancer</w:t>
      </w:r>
      <w:r w:rsidRPr="009C742C">
        <w:rPr>
          <w:rFonts w:cs="Times New Roman"/>
          <w:noProof/>
          <w:sz w:val="20"/>
          <w:szCs w:val="24"/>
        </w:rPr>
        <w:t>, 138(12), pp. 2837–2845. doi: 10.1002/ijc.30024.</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Who, T. </w:t>
      </w:r>
      <w:r w:rsidRPr="009C742C">
        <w:rPr>
          <w:rFonts w:cs="Times New Roman"/>
          <w:i/>
          <w:iCs/>
          <w:noProof/>
          <w:sz w:val="20"/>
          <w:szCs w:val="24"/>
        </w:rPr>
        <w:t>et al.</w:t>
      </w:r>
      <w:r w:rsidRPr="009C742C">
        <w:rPr>
          <w:rFonts w:cs="Times New Roman"/>
          <w:noProof/>
          <w:sz w:val="20"/>
          <w:szCs w:val="24"/>
        </w:rPr>
        <w:t xml:space="preserve"> (no date) ‘Appendix 4: WHO Classification a of Gastric Tumours 4 th edition’, 23.</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Willeke, F. </w:t>
      </w:r>
      <w:r w:rsidRPr="009C742C">
        <w:rPr>
          <w:rFonts w:cs="Times New Roman"/>
          <w:i/>
          <w:iCs/>
          <w:noProof/>
          <w:sz w:val="20"/>
          <w:szCs w:val="24"/>
        </w:rPr>
        <w:t>et al.</w:t>
      </w:r>
      <w:r w:rsidRPr="009C742C">
        <w:rPr>
          <w:rFonts w:cs="Times New Roman"/>
          <w:noProof/>
          <w:sz w:val="20"/>
          <w:szCs w:val="24"/>
        </w:rPr>
        <w:t xml:space="preserve"> (2006) ‘Overexpression of a member of the pentraxin family (PTX3) in human soft tissue liposarcoma’, </w:t>
      </w:r>
      <w:r w:rsidRPr="009C742C">
        <w:rPr>
          <w:rFonts w:cs="Times New Roman"/>
          <w:i/>
          <w:iCs/>
          <w:noProof/>
          <w:sz w:val="20"/>
          <w:szCs w:val="24"/>
        </w:rPr>
        <w:t>European Journal of Cancer</w:t>
      </w:r>
      <w:r w:rsidRPr="009C742C">
        <w:rPr>
          <w:rFonts w:cs="Times New Roman"/>
          <w:noProof/>
          <w:sz w:val="20"/>
          <w:szCs w:val="24"/>
        </w:rPr>
        <w:t>, 42(15), pp. 2639–2646. doi: 10.1016/j.ejca.2006.05.035.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World Cancer Research Fund/American Institute for Cancer Research (2018) </w:t>
      </w:r>
      <w:r w:rsidRPr="009C742C">
        <w:rPr>
          <w:rFonts w:cs="Times New Roman"/>
          <w:i/>
          <w:iCs/>
          <w:noProof/>
          <w:sz w:val="20"/>
          <w:szCs w:val="24"/>
        </w:rPr>
        <w:t>Diet, Nutrition, Physical Activity and Cancer: a Global Perspective</w:t>
      </w:r>
      <w:r w:rsidRPr="009C742C">
        <w:rPr>
          <w:rFonts w:cs="Times New Roman"/>
          <w:noProof/>
          <w:sz w:val="20"/>
          <w:szCs w:val="24"/>
        </w:rPr>
        <w:t xml:space="preserve">, </w:t>
      </w:r>
      <w:r w:rsidRPr="009C742C">
        <w:rPr>
          <w:rFonts w:cs="Times New Roman"/>
          <w:i/>
          <w:iCs/>
          <w:noProof/>
          <w:sz w:val="20"/>
          <w:szCs w:val="24"/>
        </w:rPr>
        <w:t>American Institute for Cancer Research</w:t>
      </w:r>
      <w:r w:rsidRPr="009C742C">
        <w:rPr>
          <w:rFonts w:cs="Times New Roman"/>
          <w:noProof/>
          <w:sz w:val="20"/>
          <w:szCs w:val="24"/>
        </w:rPr>
        <w:t>. doi: 10.1016/j.scienta.2014.02.005.</w:t>
      </w:r>
    </w:p>
    <w:p w:rsidR="009C742C" w:rsidRP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Yamasaki, K. </w:t>
      </w:r>
      <w:r w:rsidRPr="009C742C">
        <w:rPr>
          <w:rFonts w:cs="Times New Roman"/>
          <w:i/>
          <w:iCs/>
          <w:noProof/>
          <w:sz w:val="20"/>
          <w:szCs w:val="24"/>
        </w:rPr>
        <w:t>et al.</w:t>
      </w:r>
      <w:r w:rsidRPr="009C742C">
        <w:rPr>
          <w:rFonts w:cs="Times New Roman"/>
          <w:noProof/>
          <w:sz w:val="20"/>
          <w:szCs w:val="24"/>
        </w:rPr>
        <w:t xml:space="preserve"> (2009) ‘Determination of physiological plasma pentraxin 3 (PTX3) levels in healthy populations’, </w:t>
      </w:r>
      <w:r w:rsidRPr="009C742C">
        <w:rPr>
          <w:rFonts w:cs="Times New Roman"/>
          <w:i/>
          <w:iCs/>
          <w:noProof/>
          <w:sz w:val="20"/>
          <w:szCs w:val="24"/>
        </w:rPr>
        <w:t>Clinical Chemistry and Laboratory Medicine</w:t>
      </w:r>
      <w:r w:rsidRPr="009C742C">
        <w:rPr>
          <w:rFonts w:cs="Times New Roman"/>
          <w:noProof/>
          <w:sz w:val="20"/>
          <w:szCs w:val="24"/>
        </w:rPr>
        <w:t>, 47(4), pp. 471–477. doi: 10.1515/CCLM.2009.110.</w:t>
      </w:r>
    </w:p>
    <w:p w:rsidR="009C742C" w:rsidRDefault="009C742C" w:rsidP="009C742C">
      <w:pPr>
        <w:widowControl w:val="0"/>
        <w:autoSpaceDE w:val="0"/>
        <w:autoSpaceDN w:val="0"/>
        <w:adjustRightInd w:val="0"/>
        <w:spacing w:line="240" w:lineRule="auto"/>
        <w:rPr>
          <w:rFonts w:cs="Times New Roman"/>
          <w:noProof/>
          <w:sz w:val="20"/>
          <w:szCs w:val="24"/>
        </w:rPr>
      </w:pPr>
      <w:r w:rsidRPr="009C742C">
        <w:rPr>
          <w:rFonts w:cs="Times New Roman"/>
          <w:noProof/>
          <w:sz w:val="20"/>
          <w:szCs w:val="24"/>
        </w:rPr>
        <w:t xml:space="preserve">Ying, T. H. </w:t>
      </w:r>
      <w:r w:rsidRPr="009C742C">
        <w:rPr>
          <w:rFonts w:cs="Times New Roman"/>
          <w:i/>
          <w:iCs/>
          <w:noProof/>
          <w:sz w:val="20"/>
          <w:szCs w:val="24"/>
        </w:rPr>
        <w:t>et al.</w:t>
      </w:r>
      <w:r w:rsidRPr="009C742C">
        <w:rPr>
          <w:rFonts w:cs="Times New Roman"/>
          <w:noProof/>
          <w:sz w:val="20"/>
          <w:szCs w:val="24"/>
        </w:rPr>
        <w:t xml:space="preserve"> (2016) ‘Knockdown of Pentraxin 3 suppresses tumorigenicity and metastasis of human cervical cancer cells’, </w:t>
      </w:r>
      <w:r w:rsidRPr="009C742C">
        <w:rPr>
          <w:rFonts w:cs="Times New Roman"/>
          <w:i/>
          <w:iCs/>
          <w:noProof/>
          <w:sz w:val="20"/>
          <w:szCs w:val="24"/>
        </w:rPr>
        <w:t>Scientific Reports</w:t>
      </w:r>
      <w:r w:rsidRPr="009C742C">
        <w:rPr>
          <w:rFonts w:cs="Times New Roman"/>
          <w:noProof/>
          <w:sz w:val="20"/>
          <w:szCs w:val="24"/>
        </w:rPr>
        <w:t>. Nature Publishing Group, 6(July), pp. 1–12. doi: 10.1038/srep29385.</w:t>
      </w:r>
    </w:p>
    <w:p w:rsidR="003616DD" w:rsidRPr="009C742C" w:rsidRDefault="003616DD" w:rsidP="009C742C">
      <w:pPr>
        <w:widowControl w:val="0"/>
        <w:autoSpaceDE w:val="0"/>
        <w:autoSpaceDN w:val="0"/>
        <w:adjustRightInd w:val="0"/>
        <w:spacing w:line="240" w:lineRule="auto"/>
        <w:rPr>
          <w:rFonts w:cs="Times New Roman"/>
          <w:noProof/>
          <w:sz w:val="20"/>
        </w:rPr>
      </w:pPr>
    </w:p>
    <w:p w:rsidR="00FC5A3E" w:rsidRPr="00F41B60" w:rsidRDefault="00F41B60" w:rsidP="009C742C">
      <w:pPr>
        <w:widowControl w:val="0"/>
        <w:autoSpaceDE w:val="0"/>
        <w:autoSpaceDN w:val="0"/>
        <w:adjustRightInd w:val="0"/>
        <w:spacing w:line="240" w:lineRule="auto"/>
        <w:rPr>
          <w:rFonts w:eastAsiaTheme="majorEastAsia" w:cstheme="majorBidi"/>
          <w:b/>
          <w:bCs/>
          <w:sz w:val="20"/>
          <w:szCs w:val="20"/>
        </w:rPr>
      </w:pPr>
      <w:r w:rsidRPr="00F41B60">
        <w:rPr>
          <w:sz w:val="20"/>
          <w:szCs w:val="20"/>
        </w:rPr>
        <w:fldChar w:fldCharType="end"/>
      </w:r>
      <w:r w:rsidR="00FC5A3E" w:rsidRPr="00F41B60">
        <w:rPr>
          <w:sz w:val="20"/>
          <w:szCs w:val="20"/>
        </w:rPr>
        <w:br w:type="page"/>
      </w:r>
    </w:p>
    <w:p w:rsidR="00D37832" w:rsidRDefault="00727BAF" w:rsidP="0096585E">
      <w:pPr>
        <w:pStyle w:val="Heading1"/>
      </w:pPr>
      <w:bookmarkStart w:id="18" w:name="_Toc7695577"/>
      <w:r>
        <w:lastRenderedPageBreak/>
        <w:t>10. SAŽETAK</w:t>
      </w:r>
      <w:bookmarkEnd w:id="18"/>
    </w:p>
    <w:p w:rsidR="00BD25A9" w:rsidRDefault="00BD25A9" w:rsidP="00BD25A9"/>
    <w:p w:rsidR="00BD25A9" w:rsidRDefault="005F33B7" w:rsidP="00182654">
      <w:pPr>
        <w:spacing w:line="360" w:lineRule="auto"/>
        <w:rPr>
          <w:rFonts w:cs="Times New Roman"/>
          <w:b/>
          <w:sz w:val="22"/>
        </w:rPr>
      </w:pPr>
      <w:r>
        <w:rPr>
          <w:rFonts w:cs="Times New Roman"/>
          <w:b/>
          <w:sz w:val="22"/>
        </w:rPr>
        <w:t>IZRAŽENOST PROTEINA PENTRAXIN 3 U DIFUZNIM KARCINOMIMA</w:t>
      </w:r>
      <w:r w:rsidR="00BD25A9" w:rsidRPr="00BD25A9">
        <w:rPr>
          <w:rFonts w:cs="Times New Roman"/>
          <w:b/>
          <w:sz w:val="22"/>
        </w:rPr>
        <w:t xml:space="preserve"> ŽELUCA</w:t>
      </w:r>
    </w:p>
    <w:p w:rsidR="00BD25A9" w:rsidRPr="006479C6" w:rsidRDefault="00BD25A9" w:rsidP="00182654">
      <w:pPr>
        <w:spacing w:line="360" w:lineRule="auto"/>
        <w:rPr>
          <w:rFonts w:cs="Times New Roman"/>
          <w:b/>
          <w:sz w:val="22"/>
        </w:rPr>
      </w:pPr>
      <w:r w:rsidRPr="006479C6">
        <w:rPr>
          <w:rFonts w:cs="Times New Roman"/>
          <w:b/>
          <w:sz w:val="22"/>
        </w:rPr>
        <w:t>Mira Knežić</w:t>
      </w:r>
    </w:p>
    <w:p w:rsidR="00BE76AC" w:rsidRDefault="00BD25A9" w:rsidP="000D0779">
      <w:pPr>
        <w:spacing w:line="360" w:lineRule="auto"/>
        <w:jc w:val="both"/>
        <w:rPr>
          <w:rFonts w:cs="Times New Roman"/>
          <w:sz w:val="22"/>
        </w:rPr>
      </w:pPr>
      <w:r>
        <w:rPr>
          <w:rFonts w:cs="Times New Roman"/>
          <w:sz w:val="22"/>
        </w:rPr>
        <w:t xml:space="preserve">Karcinom </w:t>
      </w:r>
      <w:r w:rsidR="0032090A">
        <w:rPr>
          <w:rFonts w:cs="Times New Roman"/>
          <w:sz w:val="22"/>
        </w:rPr>
        <w:t xml:space="preserve">želuca spada u </w:t>
      </w:r>
      <w:r w:rsidR="00BF6175">
        <w:rPr>
          <w:rFonts w:cs="Times New Roman"/>
          <w:sz w:val="22"/>
        </w:rPr>
        <w:t>deset najčešćih</w:t>
      </w:r>
      <w:r w:rsidR="0032090A">
        <w:rPr>
          <w:rFonts w:cs="Times New Roman"/>
          <w:sz w:val="22"/>
        </w:rPr>
        <w:t xml:space="preserve"> </w:t>
      </w:r>
      <w:r w:rsidR="00BF6175">
        <w:rPr>
          <w:rFonts w:cs="Times New Roman"/>
          <w:sz w:val="22"/>
        </w:rPr>
        <w:t>uzroka</w:t>
      </w:r>
      <w:r w:rsidR="0032090A">
        <w:rPr>
          <w:rFonts w:cs="Times New Roman"/>
          <w:sz w:val="22"/>
        </w:rPr>
        <w:t xml:space="preserve"> pobola i smrtnosti od zloćudnih novotvorina, a difuzni tip karcinoma po </w:t>
      </w:r>
      <w:r w:rsidR="005B3244" w:rsidRPr="005B3244">
        <w:rPr>
          <w:rFonts w:cs="Times New Roman"/>
          <w:sz w:val="22"/>
        </w:rPr>
        <w:t>Laurén</w:t>
      </w:r>
      <w:r w:rsidR="006B2562">
        <w:rPr>
          <w:rFonts w:cs="Times New Roman"/>
          <w:sz w:val="22"/>
        </w:rPr>
        <w:t>ovoj klasifikaciji</w:t>
      </w:r>
      <w:r w:rsidR="0032090A">
        <w:rPr>
          <w:rFonts w:cs="Times New Roman"/>
          <w:sz w:val="22"/>
        </w:rPr>
        <w:t xml:space="preserve"> </w:t>
      </w:r>
      <w:r w:rsidR="006B2562">
        <w:rPr>
          <w:rFonts w:cs="Times New Roman"/>
          <w:sz w:val="22"/>
        </w:rPr>
        <w:t>češće se javlja u mlađoj životnoj dobi, kasnije s</w:t>
      </w:r>
      <w:r w:rsidR="005B3244">
        <w:rPr>
          <w:rFonts w:cs="Times New Roman"/>
          <w:sz w:val="22"/>
        </w:rPr>
        <w:t>e dijagnosticira i ima</w:t>
      </w:r>
      <w:r w:rsidR="006B2562">
        <w:rPr>
          <w:rFonts w:cs="Times New Roman"/>
          <w:sz w:val="22"/>
        </w:rPr>
        <w:t xml:space="preserve"> lošiju prognozu. </w:t>
      </w:r>
      <w:r w:rsidR="0032090A">
        <w:rPr>
          <w:rFonts w:cs="Times New Roman"/>
          <w:sz w:val="22"/>
        </w:rPr>
        <w:t>Uloga</w:t>
      </w:r>
      <w:r w:rsidR="0049487E">
        <w:rPr>
          <w:rFonts w:cs="Times New Roman"/>
          <w:sz w:val="22"/>
        </w:rPr>
        <w:t xml:space="preserve"> proteina</w:t>
      </w:r>
      <w:r w:rsidR="004A2740">
        <w:rPr>
          <w:rFonts w:cs="Times New Roman"/>
          <w:sz w:val="22"/>
        </w:rPr>
        <w:t xml:space="preserve"> </w:t>
      </w:r>
      <w:proofErr w:type="spellStart"/>
      <w:r w:rsidR="004A2740">
        <w:rPr>
          <w:rFonts w:cs="Times New Roman"/>
          <w:sz w:val="22"/>
        </w:rPr>
        <w:t>pentrax</w:t>
      </w:r>
      <w:r w:rsidR="0049487E">
        <w:rPr>
          <w:rFonts w:cs="Times New Roman"/>
          <w:sz w:val="22"/>
        </w:rPr>
        <w:t>in</w:t>
      </w:r>
      <w:proofErr w:type="spellEnd"/>
      <w:r w:rsidR="0032090A">
        <w:rPr>
          <w:rFonts w:cs="Times New Roman"/>
          <w:sz w:val="22"/>
        </w:rPr>
        <w:t xml:space="preserve"> 3</w:t>
      </w:r>
      <w:r w:rsidR="00AB5706">
        <w:rPr>
          <w:rFonts w:cs="Times New Roman"/>
          <w:sz w:val="22"/>
        </w:rPr>
        <w:t xml:space="preserve"> (PTX3)</w:t>
      </w:r>
      <w:r w:rsidR="0032090A">
        <w:rPr>
          <w:rFonts w:cs="Times New Roman"/>
          <w:sz w:val="22"/>
        </w:rPr>
        <w:t xml:space="preserve">, </w:t>
      </w:r>
      <w:r w:rsidR="005B3244">
        <w:rPr>
          <w:rFonts w:cs="Times New Roman"/>
          <w:sz w:val="22"/>
        </w:rPr>
        <w:t>koji se ubraja</w:t>
      </w:r>
      <w:r w:rsidR="000D0779">
        <w:rPr>
          <w:rFonts w:cs="Times New Roman"/>
          <w:sz w:val="22"/>
        </w:rPr>
        <w:t xml:space="preserve"> u proteine</w:t>
      </w:r>
      <w:r w:rsidR="006B2562">
        <w:rPr>
          <w:rFonts w:cs="Times New Roman"/>
          <w:sz w:val="22"/>
        </w:rPr>
        <w:t xml:space="preserve"> akutne faze upalnog odgovora</w:t>
      </w:r>
      <w:r w:rsidR="0032090A">
        <w:rPr>
          <w:rFonts w:cs="Times New Roman"/>
          <w:sz w:val="22"/>
        </w:rPr>
        <w:t>, u procesu tumorigeneze nije sasvim jasna, a prema dosad</w:t>
      </w:r>
      <w:r w:rsidR="006B2562">
        <w:rPr>
          <w:rFonts w:cs="Times New Roman"/>
          <w:sz w:val="22"/>
        </w:rPr>
        <w:t xml:space="preserve">ašnjim istraživanjima čini se </w:t>
      </w:r>
      <w:r w:rsidR="0032090A">
        <w:rPr>
          <w:rFonts w:cs="Times New Roman"/>
          <w:sz w:val="22"/>
        </w:rPr>
        <w:t>da</w:t>
      </w:r>
      <w:r w:rsidR="006B2562">
        <w:rPr>
          <w:rFonts w:cs="Times New Roman"/>
          <w:sz w:val="22"/>
        </w:rPr>
        <w:t xml:space="preserve"> je dvojaka: tumorpromotorska i tumorsupresorska</w:t>
      </w:r>
      <w:r w:rsidR="00AB5706">
        <w:rPr>
          <w:rFonts w:cs="Times New Roman"/>
          <w:sz w:val="22"/>
        </w:rPr>
        <w:t>.</w:t>
      </w:r>
      <w:r w:rsidR="006479C6" w:rsidRPr="006479C6">
        <w:t xml:space="preserve"> </w:t>
      </w:r>
      <w:r w:rsidR="006479C6" w:rsidRPr="006479C6">
        <w:rPr>
          <w:rFonts w:cs="Times New Roman"/>
          <w:sz w:val="22"/>
        </w:rPr>
        <w:t>Prema rezultatima dosad publicir</w:t>
      </w:r>
      <w:r w:rsidR="006479C6">
        <w:rPr>
          <w:rFonts w:cs="Times New Roman"/>
          <w:sz w:val="22"/>
        </w:rPr>
        <w:t xml:space="preserve">anih istraživanja čini se da </w:t>
      </w:r>
      <w:r w:rsidR="006479C6" w:rsidRPr="006479C6">
        <w:rPr>
          <w:rFonts w:cs="Times New Roman"/>
          <w:sz w:val="22"/>
        </w:rPr>
        <w:t>povećana ekspresija PTX3 povećava invazivni potencijal stanica karcinoma želuca.</w:t>
      </w:r>
      <w:r w:rsidR="006479C6">
        <w:rPr>
          <w:rFonts w:cs="Times New Roman"/>
          <w:sz w:val="22"/>
        </w:rPr>
        <w:t xml:space="preserve"> </w:t>
      </w:r>
      <w:r w:rsidR="005B3244">
        <w:rPr>
          <w:rFonts w:cs="Times New Roman"/>
          <w:sz w:val="22"/>
        </w:rPr>
        <w:t>Cilj ovog</w:t>
      </w:r>
      <w:r w:rsidR="00AB5706">
        <w:rPr>
          <w:rFonts w:cs="Times New Roman"/>
          <w:sz w:val="22"/>
        </w:rPr>
        <w:t xml:space="preserve"> istraživanja bio je</w:t>
      </w:r>
      <w:r w:rsidR="00BF6175">
        <w:rPr>
          <w:rFonts w:cs="Times New Roman"/>
          <w:sz w:val="22"/>
        </w:rPr>
        <w:t xml:space="preserve"> usporediti</w:t>
      </w:r>
      <w:r w:rsidR="005B3244">
        <w:rPr>
          <w:rFonts w:cs="Times New Roman"/>
          <w:sz w:val="22"/>
        </w:rPr>
        <w:t xml:space="preserve"> ekspresiju </w:t>
      </w:r>
      <w:r w:rsidR="000F0C55">
        <w:rPr>
          <w:rFonts w:cs="Times New Roman"/>
          <w:sz w:val="22"/>
        </w:rPr>
        <w:t xml:space="preserve">gena </w:t>
      </w:r>
      <w:r w:rsidR="004D4E23" w:rsidRPr="005B3244">
        <w:rPr>
          <w:rFonts w:cs="Times New Roman"/>
          <w:sz w:val="22"/>
        </w:rPr>
        <w:t xml:space="preserve"> </w:t>
      </w:r>
      <w:r w:rsidR="005B3244" w:rsidRPr="000F0C55">
        <w:rPr>
          <w:rFonts w:cs="Times New Roman"/>
          <w:i/>
          <w:sz w:val="22"/>
        </w:rPr>
        <w:t>PTX3</w:t>
      </w:r>
      <w:r w:rsidR="005B3244">
        <w:rPr>
          <w:rFonts w:cs="Times New Roman"/>
          <w:sz w:val="22"/>
        </w:rPr>
        <w:t xml:space="preserve"> </w:t>
      </w:r>
      <w:r w:rsidR="000F0C55">
        <w:rPr>
          <w:rFonts w:cs="Times New Roman"/>
          <w:sz w:val="22"/>
        </w:rPr>
        <w:t>na</w:t>
      </w:r>
      <w:r w:rsidR="005B3244">
        <w:rPr>
          <w:rFonts w:cs="Times New Roman"/>
          <w:sz w:val="22"/>
        </w:rPr>
        <w:t xml:space="preserve"> </w:t>
      </w:r>
      <w:proofErr w:type="spellStart"/>
      <w:r w:rsidR="005B3244">
        <w:rPr>
          <w:rFonts w:cs="Times New Roman"/>
          <w:sz w:val="22"/>
        </w:rPr>
        <w:t>mRNA</w:t>
      </w:r>
      <w:proofErr w:type="spellEnd"/>
      <w:r w:rsidR="000F0C55">
        <w:rPr>
          <w:rFonts w:cs="Times New Roman"/>
          <w:sz w:val="22"/>
        </w:rPr>
        <w:t xml:space="preserve"> i proteinskoj razini </w:t>
      </w:r>
      <w:r w:rsidR="004D4E23">
        <w:rPr>
          <w:rFonts w:cs="Times New Roman"/>
          <w:sz w:val="22"/>
        </w:rPr>
        <w:t xml:space="preserve"> </w:t>
      </w:r>
      <w:r w:rsidR="000F0C55">
        <w:rPr>
          <w:rFonts w:cs="Times New Roman"/>
          <w:sz w:val="22"/>
        </w:rPr>
        <w:t xml:space="preserve">u </w:t>
      </w:r>
      <w:r w:rsidR="004D4E23">
        <w:rPr>
          <w:rFonts w:cs="Times New Roman"/>
          <w:sz w:val="22"/>
        </w:rPr>
        <w:t>difuznim karcinomima</w:t>
      </w:r>
      <w:r w:rsidR="005B3244" w:rsidRPr="005B3244">
        <w:rPr>
          <w:rFonts w:cs="Times New Roman"/>
          <w:sz w:val="22"/>
        </w:rPr>
        <w:t xml:space="preserve"> želuca i kontrolnom netumorskom tkivu želuca</w:t>
      </w:r>
      <w:r w:rsidR="00BF6175">
        <w:rPr>
          <w:rFonts w:cs="Times New Roman"/>
          <w:sz w:val="22"/>
        </w:rPr>
        <w:t xml:space="preserve">. </w:t>
      </w:r>
      <w:r w:rsidR="005B3244" w:rsidRPr="005B3244">
        <w:rPr>
          <w:rFonts w:cs="Times New Roman"/>
          <w:sz w:val="22"/>
        </w:rPr>
        <w:t>Tumorsko tkivo pokazuje veći intenzitet obojenja i veći postotak pozitivnih stanica, tj. veću ekspresiju PTX3 proteina, u odnosu na kontrolno tkivo</w:t>
      </w:r>
      <w:r w:rsidR="004D4E23">
        <w:rPr>
          <w:rFonts w:cs="Times New Roman"/>
          <w:sz w:val="22"/>
        </w:rPr>
        <w:t xml:space="preserve"> iako je razina </w:t>
      </w:r>
      <w:proofErr w:type="spellStart"/>
      <w:r w:rsidR="004D4E23">
        <w:rPr>
          <w:rFonts w:cs="Times New Roman"/>
          <w:sz w:val="22"/>
        </w:rPr>
        <w:t>mRNA</w:t>
      </w:r>
      <w:proofErr w:type="spellEnd"/>
      <w:r w:rsidR="004D4E23">
        <w:rPr>
          <w:rFonts w:cs="Times New Roman"/>
          <w:sz w:val="22"/>
        </w:rPr>
        <w:t xml:space="preserve"> </w:t>
      </w:r>
      <w:r w:rsidR="005B3244" w:rsidRPr="005B3244">
        <w:rPr>
          <w:rFonts w:cs="Times New Roman"/>
          <w:sz w:val="22"/>
        </w:rPr>
        <w:t xml:space="preserve">u obje skupine podjednaka. Naime, u kontrolnom tkivu izraženiji su slabi i umjereni intenzitet obojenja, kao i područja do 10%, 11 – 50% te 50 – 80% pozitivnih stanica. Nasuprot tomu, u tumorskom tkivu značajno je zastupljeniji jaki intenzitet obojenja te područja s više od 80% pozitivnih stanica, što u konačnici rezultira jačim intenzitetom imunohistokemijske reakcije u tumorskom tkivu. </w:t>
      </w:r>
      <w:r w:rsidR="00C44310">
        <w:rPr>
          <w:rFonts w:cs="Times New Roman"/>
          <w:sz w:val="22"/>
        </w:rPr>
        <w:t xml:space="preserve">Daljnja su istraživanja nužna kako bi se razjasnila </w:t>
      </w:r>
      <w:r w:rsidR="005B3244">
        <w:rPr>
          <w:rFonts w:cs="Times New Roman"/>
          <w:sz w:val="22"/>
        </w:rPr>
        <w:t>stvar</w:t>
      </w:r>
      <w:r w:rsidR="00CF1F0F">
        <w:rPr>
          <w:rFonts w:cs="Times New Roman"/>
          <w:sz w:val="22"/>
        </w:rPr>
        <w:t xml:space="preserve">na </w:t>
      </w:r>
      <w:r w:rsidR="00C44310">
        <w:rPr>
          <w:rFonts w:cs="Times New Roman"/>
          <w:sz w:val="22"/>
        </w:rPr>
        <w:t xml:space="preserve">uloga PTX3 u difuznom karcinomu želuca. </w:t>
      </w:r>
    </w:p>
    <w:p w:rsidR="00E0017C" w:rsidRDefault="00E0017C" w:rsidP="000D0779">
      <w:pPr>
        <w:spacing w:line="360" w:lineRule="auto"/>
        <w:jc w:val="both"/>
        <w:rPr>
          <w:rFonts w:cs="Times New Roman"/>
          <w:sz w:val="22"/>
        </w:rPr>
      </w:pPr>
      <w:r>
        <w:rPr>
          <w:rFonts w:cs="Times New Roman"/>
          <w:sz w:val="22"/>
        </w:rPr>
        <w:t xml:space="preserve">Ključne riječi: </w:t>
      </w:r>
      <w:r w:rsidR="000D0779">
        <w:rPr>
          <w:rFonts w:cs="Times New Roman"/>
          <w:sz w:val="22"/>
        </w:rPr>
        <w:t xml:space="preserve">difuzni karcinom želuca, PTX3, </w:t>
      </w:r>
      <w:r w:rsidR="00333574">
        <w:rPr>
          <w:rFonts w:cs="Times New Roman"/>
          <w:sz w:val="22"/>
        </w:rPr>
        <w:t>imunohistokemija</w:t>
      </w:r>
    </w:p>
    <w:p w:rsidR="00BE76AC" w:rsidRDefault="00BE76AC" w:rsidP="000D0779">
      <w:pPr>
        <w:spacing w:line="360" w:lineRule="auto"/>
        <w:jc w:val="both"/>
      </w:pPr>
      <w:r>
        <w:br w:type="page"/>
      </w:r>
    </w:p>
    <w:p w:rsidR="00BD25A9" w:rsidRPr="00C44310" w:rsidRDefault="00BE76AC" w:rsidP="00BE76AC">
      <w:pPr>
        <w:pStyle w:val="Heading1"/>
      </w:pPr>
      <w:bookmarkStart w:id="19" w:name="_Toc7695578"/>
      <w:r>
        <w:lastRenderedPageBreak/>
        <w:t>11. ABSTRACT</w:t>
      </w:r>
      <w:bookmarkStart w:id="20" w:name="_GoBack"/>
      <w:bookmarkEnd w:id="19"/>
      <w:bookmarkEnd w:id="20"/>
    </w:p>
    <w:p w:rsidR="00727BAF" w:rsidRDefault="00727BAF" w:rsidP="00727BAF">
      <w:r>
        <w:tab/>
      </w:r>
    </w:p>
    <w:p w:rsidR="00280302" w:rsidRPr="00280302" w:rsidRDefault="00280302" w:rsidP="00727BAF">
      <w:pPr>
        <w:rPr>
          <w:b/>
        </w:rPr>
      </w:pPr>
      <w:r>
        <w:rPr>
          <w:b/>
        </w:rPr>
        <w:t>PENTRAXIN 3 PROTEIN EXPRESS</w:t>
      </w:r>
      <w:r w:rsidR="00FE0ADE">
        <w:rPr>
          <w:b/>
        </w:rPr>
        <w:t>ION IN DIFFUSE GASTRIC CANCER</w:t>
      </w:r>
    </w:p>
    <w:p w:rsidR="005F33B7" w:rsidRDefault="00280302" w:rsidP="00727BAF">
      <w:pPr>
        <w:rPr>
          <w:rFonts w:cs="Times New Roman"/>
          <w:b/>
          <w:sz w:val="22"/>
        </w:rPr>
      </w:pPr>
      <w:r>
        <w:rPr>
          <w:rFonts w:cs="Times New Roman"/>
          <w:b/>
          <w:sz w:val="22"/>
        </w:rPr>
        <w:t>Mira Knežić</w:t>
      </w:r>
    </w:p>
    <w:p w:rsidR="00280302" w:rsidRDefault="00280302" w:rsidP="0050747D">
      <w:pPr>
        <w:spacing w:line="360" w:lineRule="auto"/>
        <w:jc w:val="both"/>
        <w:rPr>
          <w:rFonts w:cs="Times New Roman"/>
          <w:sz w:val="22"/>
        </w:rPr>
      </w:pPr>
      <w:r>
        <w:rPr>
          <w:rFonts w:cs="Times New Roman"/>
          <w:sz w:val="22"/>
        </w:rPr>
        <w:t xml:space="preserve">Gastric cancer remains one of the most common </w:t>
      </w:r>
      <w:r w:rsidR="00FE0ADE">
        <w:rPr>
          <w:rFonts w:cs="Times New Roman"/>
          <w:sz w:val="22"/>
        </w:rPr>
        <w:t>and</w:t>
      </w:r>
      <w:r>
        <w:rPr>
          <w:rFonts w:cs="Times New Roman"/>
          <w:sz w:val="22"/>
        </w:rPr>
        <w:t xml:space="preserve"> deadly cancers worldwide. Diffuse gastr</w:t>
      </w:r>
      <w:r w:rsidR="008433D3">
        <w:rPr>
          <w:rFonts w:cs="Times New Roman"/>
          <w:sz w:val="22"/>
        </w:rPr>
        <w:t>ic cancer</w:t>
      </w:r>
      <w:r w:rsidR="001B1454">
        <w:rPr>
          <w:rFonts w:cs="Times New Roman"/>
          <w:sz w:val="22"/>
        </w:rPr>
        <w:t xml:space="preserve">, according to </w:t>
      </w:r>
      <w:r w:rsidR="001B1454" w:rsidRPr="001B1454">
        <w:rPr>
          <w:rFonts w:cs="Times New Roman"/>
          <w:sz w:val="22"/>
        </w:rPr>
        <w:t>Laurén</w:t>
      </w:r>
      <w:r w:rsidR="001B1454">
        <w:rPr>
          <w:rFonts w:cs="Times New Roman"/>
          <w:sz w:val="22"/>
        </w:rPr>
        <w:t>'</w:t>
      </w:r>
      <w:r w:rsidR="009E472B">
        <w:rPr>
          <w:rFonts w:cs="Times New Roman"/>
          <w:sz w:val="22"/>
        </w:rPr>
        <w:t>s</w:t>
      </w:r>
      <w:r w:rsidR="0047059F">
        <w:rPr>
          <w:rFonts w:cs="Times New Roman"/>
          <w:sz w:val="22"/>
        </w:rPr>
        <w:t xml:space="preserve"> classification, </w:t>
      </w:r>
      <w:r>
        <w:rPr>
          <w:rFonts w:cs="Times New Roman"/>
          <w:sz w:val="22"/>
        </w:rPr>
        <w:t>appears more common in young age</w:t>
      </w:r>
      <w:r w:rsidR="0047059F">
        <w:rPr>
          <w:rFonts w:cs="Times New Roman"/>
          <w:sz w:val="22"/>
        </w:rPr>
        <w:t xml:space="preserve"> groups</w:t>
      </w:r>
      <w:r>
        <w:rPr>
          <w:rFonts w:cs="Times New Roman"/>
          <w:sz w:val="22"/>
        </w:rPr>
        <w:t xml:space="preserve"> </w:t>
      </w:r>
      <w:r w:rsidR="00166627">
        <w:rPr>
          <w:rFonts w:cs="Times New Roman"/>
          <w:sz w:val="22"/>
        </w:rPr>
        <w:t>and</w:t>
      </w:r>
      <w:r>
        <w:rPr>
          <w:rFonts w:cs="Times New Roman"/>
          <w:sz w:val="22"/>
        </w:rPr>
        <w:t xml:space="preserve"> has wo</w:t>
      </w:r>
      <w:r w:rsidR="00166627">
        <w:rPr>
          <w:rFonts w:cs="Times New Roman"/>
          <w:sz w:val="22"/>
        </w:rPr>
        <w:t xml:space="preserve">rse prognosis. The role of </w:t>
      </w:r>
      <w:r w:rsidR="002C5F04">
        <w:rPr>
          <w:rFonts w:cs="Times New Roman"/>
          <w:sz w:val="22"/>
        </w:rPr>
        <w:t xml:space="preserve">pentraxin 3 (PTX3), which behaves as an </w:t>
      </w:r>
      <w:r>
        <w:rPr>
          <w:rFonts w:cs="Times New Roman"/>
          <w:sz w:val="22"/>
        </w:rPr>
        <w:t>acute phase</w:t>
      </w:r>
      <w:r w:rsidR="002C5F04">
        <w:rPr>
          <w:rFonts w:cs="Times New Roman"/>
          <w:sz w:val="22"/>
        </w:rPr>
        <w:t xml:space="preserve"> response protein</w:t>
      </w:r>
      <w:r>
        <w:rPr>
          <w:rFonts w:cs="Times New Roman"/>
          <w:sz w:val="22"/>
        </w:rPr>
        <w:t xml:space="preserve">, </w:t>
      </w:r>
      <w:r w:rsidR="00004D0E">
        <w:rPr>
          <w:rFonts w:cs="Times New Roman"/>
          <w:sz w:val="22"/>
        </w:rPr>
        <w:t xml:space="preserve">in tumorigenesis is not completely </w:t>
      </w:r>
      <w:r w:rsidR="00925F62">
        <w:rPr>
          <w:rFonts w:cs="Times New Roman"/>
          <w:sz w:val="22"/>
        </w:rPr>
        <w:t xml:space="preserve">understood </w:t>
      </w:r>
      <w:r w:rsidR="00004D0E">
        <w:rPr>
          <w:rFonts w:cs="Times New Roman"/>
          <w:sz w:val="22"/>
        </w:rPr>
        <w:t>but prev</w:t>
      </w:r>
      <w:r w:rsidR="002C5F04">
        <w:rPr>
          <w:rFonts w:cs="Times New Roman"/>
          <w:sz w:val="22"/>
        </w:rPr>
        <w:t xml:space="preserve">ious </w:t>
      </w:r>
      <w:r w:rsidR="00925F62">
        <w:rPr>
          <w:rFonts w:cs="Times New Roman"/>
          <w:sz w:val="22"/>
        </w:rPr>
        <w:t xml:space="preserve">have shown that </w:t>
      </w:r>
      <w:r w:rsidR="002C5F04">
        <w:rPr>
          <w:rFonts w:cs="Times New Roman"/>
          <w:sz w:val="22"/>
        </w:rPr>
        <w:t>it may exert both tumor-</w:t>
      </w:r>
      <w:r w:rsidR="00004D0E">
        <w:rPr>
          <w:rFonts w:cs="Times New Roman"/>
          <w:sz w:val="22"/>
        </w:rPr>
        <w:t xml:space="preserve">promotor </w:t>
      </w:r>
      <w:r w:rsidR="002C5F04">
        <w:rPr>
          <w:rFonts w:cs="Times New Roman"/>
          <w:sz w:val="22"/>
        </w:rPr>
        <w:t>and</w:t>
      </w:r>
      <w:r w:rsidR="00004D0E">
        <w:rPr>
          <w:rFonts w:cs="Times New Roman"/>
          <w:sz w:val="22"/>
        </w:rPr>
        <w:t xml:space="preserve"> tumor </w:t>
      </w:r>
      <w:r w:rsidR="002C5F04">
        <w:rPr>
          <w:rFonts w:cs="Times New Roman"/>
          <w:sz w:val="22"/>
        </w:rPr>
        <w:t>–suppressing role</w:t>
      </w:r>
      <w:r w:rsidR="00004D0E">
        <w:rPr>
          <w:rFonts w:cs="Times New Roman"/>
          <w:sz w:val="22"/>
        </w:rPr>
        <w:t>. Some researches found correlation</w:t>
      </w:r>
      <w:r w:rsidR="0047059F">
        <w:rPr>
          <w:rFonts w:cs="Times New Roman"/>
          <w:sz w:val="22"/>
        </w:rPr>
        <w:t xml:space="preserve"> between high</w:t>
      </w:r>
      <w:r w:rsidR="008433D3">
        <w:rPr>
          <w:rFonts w:cs="Times New Roman"/>
          <w:sz w:val="22"/>
        </w:rPr>
        <w:t xml:space="preserve"> PTX3 exp</w:t>
      </w:r>
      <w:r w:rsidR="00004D0E">
        <w:rPr>
          <w:rFonts w:cs="Times New Roman"/>
          <w:sz w:val="22"/>
        </w:rPr>
        <w:t xml:space="preserve">ression </w:t>
      </w:r>
      <w:r w:rsidR="002C5F04">
        <w:rPr>
          <w:rFonts w:cs="Times New Roman"/>
          <w:sz w:val="22"/>
        </w:rPr>
        <w:t>and</w:t>
      </w:r>
      <w:r w:rsidR="00004D0E">
        <w:rPr>
          <w:rFonts w:cs="Times New Roman"/>
          <w:sz w:val="22"/>
        </w:rPr>
        <w:t xml:space="preserve"> </w:t>
      </w:r>
      <w:r w:rsidR="00D06917">
        <w:rPr>
          <w:rFonts w:cs="Times New Roman"/>
          <w:sz w:val="22"/>
        </w:rPr>
        <w:t xml:space="preserve">invasive potential of tumor cells. </w:t>
      </w:r>
      <w:r w:rsidR="002C5F04">
        <w:rPr>
          <w:rFonts w:cs="Times New Roman"/>
          <w:sz w:val="22"/>
        </w:rPr>
        <w:t xml:space="preserve">The aim of this study was to compare </w:t>
      </w:r>
      <w:r w:rsidR="00D06917">
        <w:rPr>
          <w:rFonts w:cs="Times New Roman"/>
          <w:sz w:val="22"/>
        </w:rPr>
        <w:t xml:space="preserve">immunohistochemical PTX3 </w:t>
      </w:r>
      <w:r w:rsidR="002C5F04">
        <w:rPr>
          <w:rFonts w:cs="Times New Roman"/>
          <w:sz w:val="22"/>
        </w:rPr>
        <w:t>and</w:t>
      </w:r>
      <w:r w:rsidR="00D06917">
        <w:rPr>
          <w:rFonts w:cs="Times New Roman"/>
          <w:sz w:val="22"/>
        </w:rPr>
        <w:t xml:space="preserve"> PTX3 mRNA expression</w:t>
      </w:r>
      <w:r w:rsidR="0068311C">
        <w:rPr>
          <w:rFonts w:cs="Times New Roman"/>
          <w:sz w:val="22"/>
        </w:rPr>
        <w:t xml:space="preserve"> between two groups of samples: </w:t>
      </w:r>
      <w:r w:rsidR="00D06917">
        <w:rPr>
          <w:rFonts w:cs="Times New Roman"/>
          <w:sz w:val="22"/>
        </w:rPr>
        <w:t xml:space="preserve"> diffus</w:t>
      </w:r>
      <w:r w:rsidR="008433D3">
        <w:rPr>
          <w:rFonts w:cs="Times New Roman"/>
          <w:sz w:val="22"/>
        </w:rPr>
        <w:t>e gastric cancer</w:t>
      </w:r>
      <w:r w:rsidR="0068311C">
        <w:rPr>
          <w:rFonts w:cs="Times New Roman"/>
          <w:sz w:val="22"/>
        </w:rPr>
        <w:t xml:space="preserve"> </w:t>
      </w:r>
      <w:r w:rsidR="00703583">
        <w:rPr>
          <w:rFonts w:cs="Times New Roman"/>
          <w:sz w:val="22"/>
        </w:rPr>
        <w:t>i</w:t>
      </w:r>
      <w:r w:rsidR="0068311C">
        <w:rPr>
          <w:rFonts w:cs="Times New Roman"/>
          <w:sz w:val="22"/>
        </w:rPr>
        <w:t xml:space="preserve"> non-tumor control</w:t>
      </w:r>
      <w:r w:rsidR="00D06917">
        <w:rPr>
          <w:rFonts w:cs="Times New Roman"/>
          <w:sz w:val="22"/>
        </w:rPr>
        <w:t>.</w:t>
      </w:r>
      <w:r w:rsidR="0068311C">
        <w:rPr>
          <w:rFonts w:cs="Times New Roman"/>
          <w:sz w:val="22"/>
        </w:rPr>
        <w:t xml:space="preserve"> Staining intensity </w:t>
      </w:r>
      <w:r w:rsidR="002C5F04">
        <w:rPr>
          <w:rFonts w:cs="Times New Roman"/>
          <w:sz w:val="22"/>
        </w:rPr>
        <w:t>and percentage of positive cells were</w:t>
      </w:r>
      <w:r w:rsidR="0068311C">
        <w:rPr>
          <w:rFonts w:cs="Times New Roman"/>
          <w:sz w:val="22"/>
        </w:rPr>
        <w:t xml:space="preserve"> higher in </w:t>
      </w:r>
      <w:r w:rsidR="001D071A">
        <w:rPr>
          <w:rFonts w:cs="Times New Roman"/>
          <w:sz w:val="22"/>
        </w:rPr>
        <w:t>tumor</w:t>
      </w:r>
      <w:r w:rsidR="0068311C">
        <w:rPr>
          <w:rFonts w:cs="Times New Roman"/>
          <w:sz w:val="22"/>
        </w:rPr>
        <w:t xml:space="preserve"> tissue w</w:t>
      </w:r>
      <w:r w:rsidR="002C5F04">
        <w:rPr>
          <w:rFonts w:cs="Times New Roman"/>
          <w:sz w:val="22"/>
        </w:rPr>
        <w:t>h</w:t>
      </w:r>
      <w:r w:rsidR="0068311C">
        <w:rPr>
          <w:rFonts w:cs="Times New Roman"/>
          <w:sz w:val="22"/>
        </w:rPr>
        <w:t xml:space="preserve">ich means higher expression of PTX3 in </w:t>
      </w:r>
      <w:r w:rsidR="008433D3">
        <w:rPr>
          <w:rFonts w:cs="Times New Roman"/>
          <w:sz w:val="22"/>
        </w:rPr>
        <w:t>cancer</w:t>
      </w:r>
      <w:r w:rsidR="0068311C">
        <w:rPr>
          <w:rFonts w:cs="Times New Roman"/>
          <w:sz w:val="22"/>
        </w:rPr>
        <w:t>, but there was no difference in mRNA level</w:t>
      </w:r>
      <w:r w:rsidR="002C5F04">
        <w:rPr>
          <w:rFonts w:cs="Times New Roman"/>
          <w:sz w:val="22"/>
        </w:rPr>
        <w:t>s</w:t>
      </w:r>
      <w:r w:rsidR="0068311C">
        <w:rPr>
          <w:rFonts w:cs="Times New Roman"/>
          <w:sz w:val="22"/>
        </w:rPr>
        <w:t xml:space="preserve"> between two groups. </w:t>
      </w:r>
      <w:r w:rsidR="009E472B">
        <w:rPr>
          <w:rFonts w:cs="Times New Roman"/>
          <w:sz w:val="22"/>
        </w:rPr>
        <w:t>Namely</w:t>
      </w:r>
      <w:r w:rsidR="0031511F">
        <w:rPr>
          <w:rFonts w:cs="Times New Roman"/>
          <w:sz w:val="22"/>
        </w:rPr>
        <w:t xml:space="preserve">, </w:t>
      </w:r>
      <w:r w:rsidR="001D071A">
        <w:rPr>
          <w:rFonts w:cs="Times New Roman"/>
          <w:sz w:val="22"/>
        </w:rPr>
        <w:t xml:space="preserve">weak </w:t>
      </w:r>
      <w:r w:rsidR="00166627">
        <w:rPr>
          <w:rFonts w:cs="Times New Roman"/>
          <w:sz w:val="22"/>
        </w:rPr>
        <w:t>and</w:t>
      </w:r>
      <w:r w:rsidR="001D071A">
        <w:rPr>
          <w:rFonts w:cs="Times New Roman"/>
          <w:sz w:val="22"/>
        </w:rPr>
        <w:t xml:space="preserve"> moderate staining intensity </w:t>
      </w:r>
      <w:r w:rsidR="00166627">
        <w:rPr>
          <w:rFonts w:cs="Times New Roman"/>
          <w:sz w:val="22"/>
        </w:rPr>
        <w:t>and</w:t>
      </w:r>
      <w:r w:rsidR="0047059F">
        <w:rPr>
          <w:rFonts w:cs="Times New Roman"/>
          <w:sz w:val="22"/>
        </w:rPr>
        <w:t xml:space="preserve"> areas with 0 – 1</w:t>
      </w:r>
      <w:r w:rsidR="001D071A">
        <w:rPr>
          <w:rFonts w:cs="Times New Roman"/>
          <w:sz w:val="22"/>
        </w:rPr>
        <w:t>0%, 11</w:t>
      </w:r>
      <w:r w:rsidR="0047059F">
        <w:rPr>
          <w:rFonts w:cs="Times New Roman"/>
          <w:sz w:val="22"/>
        </w:rPr>
        <w:t xml:space="preserve"> – 5</w:t>
      </w:r>
      <w:r w:rsidR="001D071A">
        <w:rPr>
          <w:rFonts w:cs="Times New Roman"/>
          <w:sz w:val="22"/>
        </w:rPr>
        <w:t xml:space="preserve">0% </w:t>
      </w:r>
      <w:r w:rsidR="00703583">
        <w:rPr>
          <w:rFonts w:cs="Times New Roman"/>
          <w:sz w:val="22"/>
        </w:rPr>
        <w:t>i</w:t>
      </w:r>
      <w:r w:rsidR="0047059F">
        <w:rPr>
          <w:rFonts w:cs="Times New Roman"/>
          <w:sz w:val="22"/>
        </w:rPr>
        <w:t xml:space="preserve"> 51 – 8</w:t>
      </w:r>
      <w:r w:rsidR="001D071A">
        <w:rPr>
          <w:rFonts w:cs="Times New Roman"/>
          <w:sz w:val="22"/>
        </w:rPr>
        <w:t xml:space="preserve">0% </w:t>
      </w:r>
      <w:r w:rsidR="008433D3">
        <w:rPr>
          <w:rFonts w:cs="Times New Roman"/>
          <w:sz w:val="22"/>
        </w:rPr>
        <w:t xml:space="preserve">of the </w:t>
      </w:r>
      <w:r w:rsidR="002C5F04">
        <w:rPr>
          <w:rFonts w:cs="Times New Roman"/>
          <w:sz w:val="22"/>
        </w:rPr>
        <w:t>positive cells were</w:t>
      </w:r>
      <w:r w:rsidR="001D071A">
        <w:rPr>
          <w:rFonts w:cs="Times New Roman"/>
          <w:sz w:val="22"/>
        </w:rPr>
        <w:t xml:space="preserve"> more present in control</w:t>
      </w:r>
      <w:r w:rsidR="009E472B">
        <w:rPr>
          <w:rFonts w:cs="Times New Roman"/>
          <w:sz w:val="22"/>
        </w:rPr>
        <w:t xml:space="preserve"> than tumor </w:t>
      </w:r>
      <w:r w:rsidR="001D071A">
        <w:rPr>
          <w:rFonts w:cs="Times New Roman"/>
          <w:sz w:val="22"/>
        </w:rPr>
        <w:t xml:space="preserve">group. </w:t>
      </w:r>
      <w:r w:rsidR="00DE06A1">
        <w:rPr>
          <w:rFonts w:cs="Times New Roman"/>
          <w:sz w:val="22"/>
        </w:rPr>
        <w:t>On the other h</w:t>
      </w:r>
      <w:r w:rsidR="00166627">
        <w:rPr>
          <w:rFonts w:cs="Times New Roman"/>
          <w:sz w:val="22"/>
        </w:rPr>
        <w:t>and</w:t>
      </w:r>
      <w:r w:rsidR="001D071A">
        <w:rPr>
          <w:rFonts w:cs="Times New Roman"/>
          <w:sz w:val="22"/>
        </w:rPr>
        <w:t xml:space="preserve">, </w:t>
      </w:r>
      <w:r w:rsidR="009E472B">
        <w:rPr>
          <w:rFonts w:cs="Times New Roman"/>
          <w:sz w:val="22"/>
        </w:rPr>
        <w:t>strong</w:t>
      </w:r>
      <w:r w:rsidR="0047059F">
        <w:rPr>
          <w:rFonts w:cs="Times New Roman"/>
          <w:sz w:val="22"/>
        </w:rPr>
        <w:t xml:space="preserve"> staining</w:t>
      </w:r>
      <w:r w:rsidR="009E472B">
        <w:rPr>
          <w:rFonts w:cs="Times New Roman"/>
          <w:sz w:val="22"/>
        </w:rPr>
        <w:t xml:space="preserve"> intensity </w:t>
      </w:r>
      <w:r w:rsidR="00166627">
        <w:rPr>
          <w:rFonts w:cs="Times New Roman"/>
          <w:sz w:val="22"/>
        </w:rPr>
        <w:t xml:space="preserve">and </w:t>
      </w:r>
      <w:r w:rsidR="009E472B">
        <w:rPr>
          <w:rFonts w:cs="Times New Roman"/>
          <w:sz w:val="22"/>
        </w:rPr>
        <w:t xml:space="preserve">areas with more than 80% of </w:t>
      </w:r>
      <w:r w:rsidR="008433D3">
        <w:rPr>
          <w:rFonts w:cs="Times New Roman"/>
          <w:sz w:val="22"/>
        </w:rPr>
        <w:t xml:space="preserve">the </w:t>
      </w:r>
      <w:r w:rsidR="002C5F04">
        <w:rPr>
          <w:rFonts w:cs="Times New Roman"/>
          <w:sz w:val="22"/>
        </w:rPr>
        <w:t>positive cells were</w:t>
      </w:r>
      <w:r w:rsidR="009E472B">
        <w:rPr>
          <w:rFonts w:cs="Times New Roman"/>
          <w:sz w:val="22"/>
        </w:rPr>
        <w:t xml:space="preserve"> more present in tumor tissue wich results </w:t>
      </w:r>
      <w:r w:rsidR="002C5F04">
        <w:rPr>
          <w:rFonts w:cs="Times New Roman"/>
          <w:sz w:val="22"/>
        </w:rPr>
        <w:t xml:space="preserve">in </w:t>
      </w:r>
      <w:r w:rsidR="009E472B">
        <w:rPr>
          <w:rFonts w:cs="Times New Roman"/>
          <w:sz w:val="22"/>
        </w:rPr>
        <w:t>stronger intensity of im</w:t>
      </w:r>
      <w:r w:rsidR="002C5F04">
        <w:rPr>
          <w:rFonts w:cs="Times New Roman"/>
          <w:sz w:val="22"/>
        </w:rPr>
        <w:t>m</w:t>
      </w:r>
      <w:r w:rsidR="009E472B">
        <w:rPr>
          <w:rFonts w:cs="Times New Roman"/>
          <w:sz w:val="22"/>
        </w:rPr>
        <w:t xml:space="preserve">unohistochemical reaction in tumor tissue. Further investigations are needed to elucidate the role of PTX3 in diffuse gastric cancer. </w:t>
      </w:r>
    </w:p>
    <w:p w:rsidR="00E0017C" w:rsidRDefault="00E0017C" w:rsidP="0050747D">
      <w:pPr>
        <w:spacing w:line="360" w:lineRule="auto"/>
        <w:jc w:val="both"/>
        <w:rPr>
          <w:rFonts w:cs="Times New Roman"/>
          <w:sz w:val="22"/>
        </w:rPr>
      </w:pPr>
      <w:r>
        <w:rPr>
          <w:rFonts w:cs="Times New Roman"/>
          <w:sz w:val="22"/>
        </w:rPr>
        <w:t>Keywords:</w:t>
      </w:r>
      <w:r w:rsidR="00166627">
        <w:rPr>
          <w:rFonts w:cs="Times New Roman"/>
          <w:sz w:val="22"/>
        </w:rPr>
        <w:t xml:space="preserve"> diffuse gastric cancer, PTX3, </w:t>
      </w:r>
      <w:r w:rsidR="00333574">
        <w:rPr>
          <w:rFonts w:cs="Times New Roman"/>
          <w:sz w:val="22"/>
        </w:rPr>
        <w:t>immunohistochemistry</w:t>
      </w:r>
    </w:p>
    <w:p w:rsidR="001F2EE8" w:rsidRPr="001F2EE8" w:rsidRDefault="001F2EE8" w:rsidP="0050747D">
      <w:pPr>
        <w:spacing w:line="360" w:lineRule="auto"/>
        <w:jc w:val="both"/>
      </w:pPr>
    </w:p>
    <w:sectPr w:rsidR="001F2EE8" w:rsidRPr="001F2EE8" w:rsidSect="00C57D02">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A4" w:rsidRDefault="005669A4" w:rsidP="00361110">
      <w:pPr>
        <w:spacing w:after="0" w:line="240" w:lineRule="auto"/>
      </w:pPr>
      <w:r>
        <w:separator/>
      </w:r>
    </w:p>
  </w:endnote>
  <w:endnote w:type="continuationSeparator" w:id="0">
    <w:p w:rsidR="005669A4" w:rsidRDefault="005669A4" w:rsidP="0036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C8F" w:rsidRDefault="00061C8F">
    <w:pPr>
      <w:pStyle w:val="Footer"/>
      <w:jc w:val="center"/>
    </w:pPr>
  </w:p>
  <w:p w:rsidR="00061C8F" w:rsidRDefault="00061C8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379753"/>
      <w:docPartObj>
        <w:docPartGallery w:val="Page Numbers (Bottom of Page)"/>
        <w:docPartUnique/>
      </w:docPartObj>
    </w:sdtPr>
    <w:sdtEndPr>
      <w:rPr>
        <w:noProof/>
      </w:rPr>
    </w:sdtEndPr>
    <w:sdtContent>
      <w:p w:rsidR="00061C8F" w:rsidRDefault="00061C8F">
        <w:pPr>
          <w:pStyle w:val="Footer"/>
          <w:jc w:val="center"/>
        </w:pPr>
        <w:r>
          <w:fldChar w:fldCharType="begin"/>
        </w:r>
        <w:r>
          <w:instrText xml:space="preserve"> PAGE   \* MERGEFORMAT </w:instrText>
        </w:r>
        <w:r>
          <w:fldChar w:fldCharType="separate"/>
        </w:r>
        <w:r w:rsidR="00B23F9B">
          <w:rPr>
            <w:noProof/>
          </w:rPr>
          <w:t>25</w:t>
        </w:r>
        <w:r>
          <w:rPr>
            <w:noProof/>
          </w:rPr>
          <w:fldChar w:fldCharType="end"/>
        </w:r>
      </w:p>
    </w:sdtContent>
  </w:sdt>
  <w:p w:rsidR="00061C8F" w:rsidRDefault="00061C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A4" w:rsidRDefault="005669A4" w:rsidP="00361110">
      <w:pPr>
        <w:spacing w:after="0" w:line="240" w:lineRule="auto"/>
      </w:pPr>
      <w:r>
        <w:separator/>
      </w:r>
    </w:p>
  </w:footnote>
  <w:footnote w:type="continuationSeparator" w:id="0">
    <w:p w:rsidR="005669A4" w:rsidRDefault="005669A4" w:rsidP="00361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32125"/>
    <w:multiLevelType w:val="hybridMultilevel"/>
    <w:tmpl w:val="C916F2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A86722"/>
    <w:multiLevelType w:val="hybridMultilevel"/>
    <w:tmpl w:val="F4C823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065F1E9D"/>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6AE667E"/>
    <w:multiLevelType w:val="hybridMultilevel"/>
    <w:tmpl w:val="1A105B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E2B1920"/>
    <w:multiLevelType w:val="hybridMultilevel"/>
    <w:tmpl w:val="958214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E8618D4"/>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A714B54"/>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C635F7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0484154"/>
    <w:multiLevelType w:val="hybridMultilevel"/>
    <w:tmpl w:val="55E0C4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6683C37"/>
    <w:multiLevelType w:val="multilevel"/>
    <w:tmpl w:val="54465216"/>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ECC3624"/>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1BD15B0"/>
    <w:multiLevelType w:val="multilevel"/>
    <w:tmpl w:val="D226A7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533A16B3"/>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1D14ED2"/>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66940404"/>
    <w:multiLevelType w:val="hybridMultilevel"/>
    <w:tmpl w:val="C292F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68C2164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0E2D0B"/>
    <w:multiLevelType w:val="multilevel"/>
    <w:tmpl w:val="8E1AFE98"/>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542334F"/>
    <w:multiLevelType w:val="multilevel"/>
    <w:tmpl w:val="7C6489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1"/>
  </w:num>
  <w:num w:numId="3">
    <w:abstractNumId w:val="15"/>
  </w:num>
  <w:num w:numId="4">
    <w:abstractNumId w:val="7"/>
  </w:num>
  <w:num w:numId="5">
    <w:abstractNumId w:val="13"/>
  </w:num>
  <w:num w:numId="6">
    <w:abstractNumId w:val="5"/>
  </w:num>
  <w:num w:numId="7">
    <w:abstractNumId w:val="2"/>
  </w:num>
  <w:num w:numId="8">
    <w:abstractNumId w:val="10"/>
  </w:num>
  <w:num w:numId="9">
    <w:abstractNumId w:val="12"/>
  </w:num>
  <w:num w:numId="10">
    <w:abstractNumId w:val="9"/>
  </w:num>
  <w:num w:numId="11">
    <w:abstractNumId w:val="16"/>
  </w:num>
  <w:num w:numId="12">
    <w:abstractNumId w:val="6"/>
  </w:num>
  <w:num w:numId="13">
    <w:abstractNumId w:val="4"/>
  </w:num>
  <w:num w:numId="14">
    <w:abstractNumId w:val="3"/>
  </w:num>
  <w:num w:numId="15">
    <w:abstractNumId w:val="8"/>
  </w:num>
  <w:num w:numId="16">
    <w:abstractNumId w:val="14"/>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726"/>
    <w:rsid w:val="00004D0E"/>
    <w:rsid w:val="00005586"/>
    <w:rsid w:val="00006CB3"/>
    <w:rsid w:val="00013FCA"/>
    <w:rsid w:val="00023D2C"/>
    <w:rsid w:val="00037DC8"/>
    <w:rsid w:val="000570A7"/>
    <w:rsid w:val="00061C8F"/>
    <w:rsid w:val="00067308"/>
    <w:rsid w:val="000708B8"/>
    <w:rsid w:val="000A0AEB"/>
    <w:rsid w:val="000B43BE"/>
    <w:rsid w:val="000B610E"/>
    <w:rsid w:val="000C7131"/>
    <w:rsid w:val="000D0779"/>
    <w:rsid w:val="000D253A"/>
    <w:rsid w:val="000F0C55"/>
    <w:rsid w:val="00100BA1"/>
    <w:rsid w:val="001226BB"/>
    <w:rsid w:val="00142FD1"/>
    <w:rsid w:val="0014407F"/>
    <w:rsid w:val="00162375"/>
    <w:rsid w:val="00166627"/>
    <w:rsid w:val="00166C07"/>
    <w:rsid w:val="0018202A"/>
    <w:rsid w:val="00182654"/>
    <w:rsid w:val="001A09B8"/>
    <w:rsid w:val="001A0F25"/>
    <w:rsid w:val="001B1454"/>
    <w:rsid w:val="001C24C7"/>
    <w:rsid w:val="001C5792"/>
    <w:rsid w:val="001D071A"/>
    <w:rsid w:val="001D1E5E"/>
    <w:rsid w:val="001E5DFA"/>
    <w:rsid w:val="001F2EE8"/>
    <w:rsid w:val="001F402F"/>
    <w:rsid w:val="00206632"/>
    <w:rsid w:val="0021331D"/>
    <w:rsid w:val="002215A4"/>
    <w:rsid w:val="00224F74"/>
    <w:rsid w:val="00226229"/>
    <w:rsid w:val="002346A6"/>
    <w:rsid w:val="0026135A"/>
    <w:rsid w:val="00280302"/>
    <w:rsid w:val="00283A25"/>
    <w:rsid w:val="002B008E"/>
    <w:rsid w:val="002C5F04"/>
    <w:rsid w:val="002D159D"/>
    <w:rsid w:val="00300061"/>
    <w:rsid w:val="0031511F"/>
    <w:rsid w:val="0032090A"/>
    <w:rsid w:val="003229C0"/>
    <w:rsid w:val="00333574"/>
    <w:rsid w:val="0033631E"/>
    <w:rsid w:val="00344731"/>
    <w:rsid w:val="00347F94"/>
    <w:rsid w:val="00361110"/>
    <w:rsid w:val="003616DD"/>
    <w:rsid w:val="003733A4"/>
    <w:rsid w:val="00374642"/>
    <w:rsid w:val="00382CC4"/>
    <w:rsid w:val="00397FAD"/>
    <w:rsid w:val="003A3A94"/>
    <w:rsid w:val="003A469F"/>
    <w:rsid w:val="003B32C4"/>
    <w:rsid w:val="003C662F"/>
    <w:rsid w:val="003E3942"/>
    <w:rsid w:val="003F4A87"/>
    <w:rsid w:val="003F4DDB"/>
    <w:rsid w:val="00407967"/>
    <w:rsid w:val="004307E6"/>
    <w:rsid w:val="0046118F"/>
    <w:rsid w:val="00467CE8"/>
    <w:rsid w:val="0047059F"/>
    <w:rsid w:val="004745F3"/>
    <w:rsid w:val="0049487E"/>
    <w:rsid w:val="004A2740"/>
    <w:rsid w:val="004B614A"/>
    <w:rsid w:val="004D4E23"/>
    <w:rsid w:val="004E43D4"/>
    <w:rsid w:val="004F24E8"/>
    <w:rsid w:val="0050747D"/>
    <w:rsid w:val="00512726"/>
    <w:rsid w:val="00517381"/>
    <w:rsid w:val="00530B96"/>
    <w:rsid w:val="00542AB2"/>
    <w:rsid w:val="00544C06"/>
    <w:rsid w:val="00547319"/>
    <w:rsid w:val="005538F7"/>
    <w:rsid w:val="005634B1"/>
    <w:rsid w:val="005669A4"/>
    <w:rsid w:val="00575DA7"/>
    <w:rsid w:val="00587317"/>
    <w:rsid w:val="005B3244"/>
    <w:rsid w:val="005B61A4"/>
    <w:rsid w:val="005E0B93"/>
    <w:rsid w:val="005E29E2"/>
    <w:rsid w:val="005F33B7"/>
    <w:rsid w:val="00604EDE"/>
    <w:rsid w:val="00624F0E"/>
    <w:rsid w:val="006363F8"/>
    <w:rsid w:val="006479C6"/>
    <w:rsid w:val="00651E5E"/>
    <w:rsid w:val="00675412"/>
    <w:rsid w:val="0068311C"/>
    <w:rsid w:val="006921C1"/>
    <w:rsid w:val="00692926"/>
    <w:rsid w:val="00693B6B"/>
    <w:rsid w:val="006962F7"/>
    <w:rsid w:val="006B2562"/>
    <w:rsid w:val="006C03E8"/>
    <w:rsid w:val="006C1D07"/>
    <w:rsid w:val="006C24C0"/>
    <w:rsid w:val="00700306"/>
    <w:rsid w:val="007023EC"/>
    <w:rsid w:val="00703583"/>
    <w:rsid w:val="00710ED4"/>
    <w:rsid w:val="00712F55"/>
    <w:rsid w:val="00714985"/>
    <w:rsid w:val="00717EEC"/>
    <w:rsid w:val="00727BAF"/>
    <w:rsid w:val="0073138B"/>
    <w:rsid w:val="00732B41"/>
    <w:rsid w:val="0073726B"/>
    <w:rsid w:val="00753810"/>
    <w:rsid w:val="007550C4"/>
    <w:rsid w:val="00755A73"/>
    <w:rsid w:val="007625CE"/>
    <w:rsid w:val="007751CF"/>
    <w:rsid w:val="00790784"/>
    <w:rsid w:val="00793D01"/>
    <w:rsid w:val="007A0D32"/>
    <w:rsid w:val="007C601E"/>
    <w:rsid w:val="007D27E3"/>
    <w:rsid w:val="008006B0"/>
    <w:rsid w:val="00821EE3"/>
    <w:rsid w:val="00824773"/>
    <w:rsid w:val="008328CA"/>
    <w:rsid w:val="008423C1"/>
    <w:rsid w:val="008433D3"/>
    <w:rsid w:val="008535A0"/>
    <w:rsid w:val="008627BC"/>
    <w:rsid w:val="0088624C"/>
    <w:rsid w:val="0089329E"/>
    <w:rsid w:val="008A1CBA"/>
    <w:rsid w:val="008E1740"/>
    <w:rsid w:val="008E2F42"/>
    <w:rsid w:val="008E5889"/>
    <w:rsid w:val="008F28A5"/>
    <w:rsid w:val="009047ED"/>
    <w:rsid w:val="0090703A"/>
    <w:rsid w:val="00915A71"/>
    <w:rsid w:val="00921A27"/>
    <w:rsid w:val="00925F62"/>
    <w:rsid w:val="009454A4"/>
    <w:rsid w:val="009538C5"/>
    <w:rsid w:val="00954BDF"/>
    <w:rsid w:val="009652A5"/>
    <w:rsid w:val="0096585E"/>
    <w:rsid w:val="009710DE"/>
    <w:rsid w:val="00974AC4"/>
    <w:rsid w:val="009750D6"/>
    <w:rsid w:val="00980235"/>
    <w:rsid w:val="00981A18"/>
    <w:rsid w:val="009928DE"/>
    <w:rsid w:val="009B2E53"/>
    <w:rsid w:val="009C103F"/>
    <w:rsid w:val="009C742C"/>
    <w:rsid w:val="009C7568"/>
    <w:rsid w:val="009D121F"/>
    <w:rsid w:val="009E1963"/>
    <w:rsid w:val="009E472B"/>
    <w:rsid w:val="009F49E7"/>
    <w:rsid w:val="00A00800"/>
    <w:rsid w:val="00A34888"/>
    <w:rsid w:val="00A34E21"/>
    <w:rsid w:val="00A37DE1"/>
    <w:rsid w:val="00A47B27"/>
    <w:rsid w:val="00A60287"/>
    <w:rsid w:val="00A6347C"/>
    <w:rsid w:val="00A663C8"/>
    <w:rsid w:val="00A70FC4"/>
    <w:rsid w:val="00A76D45"/>
    <w:rsid w:val="00A822FF"/>
    <w:rsid w:val="00A97400"/>
    <w:rsid w:val="00AB5706"/>
    <w:rsid w:val="00AD6D8A"/>
    <w:rsid w:val="00AE18A0"/>
    <w:rsid w:val="00B14DF9"/>
    <w:rsid w:val="00B23F9B"/>
    <w:rsid w:val="00B279DD"/>
    <w:rsid w:val="00B3186F"/>
    <w:rsid w:val="00B32FC7"/>
    <w:rsid w:val="00B479A8"/>
    <w:rsid w:val="00B5315D"/>
    <w:rsid w:val="00B74D12"/>
    <w:rsid w:val="00B75A47"/>
    <w:rsid w:val="00B8442B"/>
    <w:rsid w:val="00BD01D3"/>
    <w:rsid w:val="00BD0B18"/>
    <w:rsid w:val="00BD25A9"/>
    <w:rsid w:val="00BD6497"/>
    <w:rsid w:val="00BE76AC"/>
    <w:rsid w:val="00BF6175"/>
    <w:rsid w:val="00C04571"/>
    <w:rsid w:val="00C342F3"/>
    <w:rsid w:val="00C43A89"/>
    <w:rsid w:val="00C44310"/>
    <w:rsid w:val="00C45449"/>
    <w:rsid w:val="00C47C5C"/>
    <w:rsid w:val="00C47D9F"/>
    <w:rsid w:val="00C57D02"/>
    <w:rsid w:val="00C83BC2"/>
    <w:rsid w:val="00C86AE8"/>
    <w:rsid w:val="00C92C5B"/>
    <w:rsid w:val="00C96EF9"/>
    <w:rsid w:val="00CA252C"/>
    <w:rsid w:val="00CA2E1E"/>
    <w:rsid w:val="00CB14D3"/>
    <w:rsid w:val="00CC23EB"/>
    <w:rsid w:val="00CC392F"/>
    <w:rsid w:val="00CD3E6E"/>
    <w:rsid w:val="00CD48FB"/>
    <w:rsid w:val="00CF1F0F"/>
    <w:rsid w:val="00D06917"/>
    <w:rsid w:val="00D16B79"/>
    <w:rsid w:val="00D20E4D"/>
    <w:rsid w:val="00D23C0A"/>
    <w:rsid w:val="00D37832"/>
    <w:rsid w:val="00D45472"/>
    <w:rsid w:val="00D621B6"/>
    <w:rsid w:val="00D7203F"/>
    <w:rsid w:val="00D93F85"/>
    <w:rsid w:val="00DB17EF"/>
    <w:rsid w:val="00DC211A"/>
    <w:rsid w:val="00DD1BC1"/>
    <w:rsid w:val="00DE06A1"/>
    <w:rsid w:val="00DF1336"/>
    <w:rsid w:val="00DF1E8F"/>
    <w:rsid w:val="00DF726A"/>
    <w:rsid w:val="00E0017C"/>
    <w:rsid w:val="00E12B98"/>
    <w:rsid w:val="00E152B3"/>
    <w:rsid w:val="00E32580"/>
    <w:rsid w:val="00E42841"/>
    <w:rsid w:val="00E454B0"/>
    <w:rsid w:val="00E623F1"/>
    <w:rsid w:val="00E65C37"/>
    <w:rsid w:val="00E67E82"/>
    <w:rsid w:val="00E732FF"/>
    <w:rsid w:val="00E95B72"/>
    <w:rsid w:val="00EA0B70"/>
    <w:rsid w:val="00EB02A7"/>
    <w:rsid w:val="00EB6F9D"/>
    <w:rsid w:val="00EC13FD"/>
    <w:rsid w:val="00EE2A5A"/>
    <w:rsid w:val="00F00649"/>
    <w:rsid w:val="00F0483A"/>
    <w:rsid w:val="00F22148"/>
    <w:rsid w:val="00F41B60"/>
    <w:rsid w:val="00F46EEB"/>
    <w:rsid w:val="00F529BC"/>
    <w:rsid w:val="00F952BF"/>
    <w:rsid w:val="00F9641F"/>
    <w:rsid w:val="00FC5A3E"/>
    <w:rsid w:val="00FE0ADE"/>
    <w:rsid w:val="00FE565C"/>
    <w:rsid w:val="00FF0299"/>
    <w:rsid w:val="00FF5F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EE8"/>
    <w:rPr>
      <w:rFonts w:ascii="Times New Roman" w:hAnsi="Times New Roman"/>
      <w:sz w:val="24"/>
    </w:rPr>
  </w:style>
  <w:style w:type="paragraph" w:styleId="Heading1">
    <w:name w:val="heading 1"/>
    <w:basedOn w:val="Normal"/>
    <w:next w:val="Normal"/>
    <w:link w:val="Heading1Char"/>
    <w:uiPriority w:val="9"/>
    <w:qFormat/>
    <w:rsid w:val="00013FCA"/>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9E1963"/>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9E1963"/>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4611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52A5"/>
    <w:rPr>
      <w:b/>
      <w:bCs/>
    </w:rPr>
  </w:style>
  <w:style w:type="paragraph" w:styleId="ListParagraph">
    <w:name w:val="List Paragraph"/>
    <w:basedOn w:val="Normal"/>
    <w:uiPriority w:val="34"/>
    <w:qFormat/>
    <w:rsid w:val="009652A5"/>
    <w:pPr>
      <w:ind w:left="720"/>
      <w:contextualSpacing/>
    </w:pPr>
  </w:style>
  <w:style w:type="paragraph" w:styleId="Subtitle">
    <w:name w:val="Subtitle"/>
    <w:basedOn w:val="Normal"/>
    <w:next w:val="Normal"/>
    <w:link w:val="SubtitleChar"/>
    <w:uiPriority w:val="11"/>
    <w:qFormat/>
    <w:rsid w:val="009652A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652A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3FC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E1963"/>
    <w:rPr>
      <w:rFonts w:ascii="Times New Roman" w:eastAsiaTheme="majorEastAsia" w:hAnsi="Times New Roman" w:cstheme="majorBidi"/>
      <w:b/>
      <w:bCs/>
      <w:color w:val="000000" w:themeColor="text1"/>
      <w:sz w:val="24"/>
      <w:szCs w:val="26"/>
    </w:rPr>
  </w:style>
  <w:style w:type="paragraph" w:styleId="TOCHeading">
    <w:name w:val="TOC Heading"/>
    <w:basedOn w:val="Heading1"/>
    <w:next w:val="Normal"/>
    <w:uiPriority w:val="39"/>
    <w:unhideWhenUsed/>
    <w:qFormat/>
    <w:rsid w:val="0073138B"/>
    <w:pPr>
      <w:outlineLvl w:val="9"/>
    </w:pPr>
    <w:rPr>
      <w:lang w:val="en-US" w:eastAsia="ja-JP"/>
    </w:rPr>
  </w:style>
  <w:style w:type="paragraph" w:styleId="BalloonText">
    <w:name w:val="Balloon Text"/>
    <w:basedOn w:val="Normal"/>
    <w:link w:val="BalloonTextChar"/>
    <w:uiPriority w:val="99"/>
    <w:semiHidden/>
    <w:unhideWhenUsed/>
    <w:rsid w:val="00731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8B"/>
    <w:rPr>
      <w:rFonts w:ascii="Tahoma" w:hAnsi="Tahoma" w:cs="Tahoma"/>
      <w:sz w:val="16"/>
      <w:szCs w:val="16"/>
    </w:rPr>
  </w:style>
  <w:style w:type="paragraph" w:styleId="TOC2">
    <w:name w:val="toc 2"/>
    <w:basedOn w:val="Normal"/>
    <w:next w:val="Normal"/>
    <w:autoRedefine/>
    <w:uiPriority w:val="39"/>
    <w:unhideWhenUsed/>
    <w:qFormat/>
    <w:rsid w:val="0073138B"/>
    <w:pPr>
      <w:spacing w:after="100"/>
      <w:ind w:left="220"/>
    </w:pPr>
  </w:style>
  <w:style w:type="character" w:styleId="Hyperlink">
    <w:name w:val="Hyperlink"/>
    <w:basedOn w:val="DefaultParagraphFont"/>
    <w:uiPriority w:val="99"/>
    <w:unhideWhenUsed/>
    <w:rsid w:val="0073138B"/>
    <w:rPr>
      <w:color w:val="0000FF" w:themeColor="hyperlink"/>
      <w:u w:val="single"/>
    </w:rPr>
  </w:style>
  <w:style w:type="paragraph" w:styleId="TOC1">
    <w:name w:val="toc 1"/>
    <w:basedOn w:val="Normal"/>
    <w:next w:val="Normal"/>
    <w:autoRedefine/>
    <w:uiPriority w:val="39"/>
    <w:unhideWhenUsed/>
    <w:qFormat/>
    <w:rsid w:val="0073138B"/>
    <w:pPr>
      <w:spacing w:after="100"/>
    </w:pPr>
    <w:rPr>
      <w:rFonts w:eastAsiaTheme="minorEastAsia"/>
      <w:lang w:val="en-US" w:eastAsia="ja-JP"/>
    </w:rPr>
  </w:style>
  <w:style w:type="paragraph" w:styleId="TOC3">
    <w:name w:val="toc 3"/>
    <w:basedOn w:val="Normal"/>
    <w:next w:val="Normal"/>
    <w:autoRedefine/>
    <w:uiPriority w:val="39"/>
    <w:unhideWhenUsed/>
    <w:qFormat/>
    <w:rsid w:val="0073138B"/>
    <w:pPr>
      <w:spacing w:after="100"/>
      <w:ind w:left="440"/>
    </w:pPr>
    <w:rPr>
      <w:rFonts w:eastAsiaTheme="minorEastAsia"/>
      <w:lang w:val="en-US" w:eastAsia="ja-JP"/>
    </w:rPr>
  </w:style>
  <w:style w:type="paragraph" w:styleId="Header">
    <w:name w:val="header"/>
    <w:basedOn w:val="Normal"/>
    <w:link w:val="HeaderChar"/>
    <w:uiPriority w:val="99"/>
    <w:unhideWhenUsed/>
    <w:rsid w:val="003611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61110"/>
  </w:style>
  <w:style w:type="paragraph" w:styleId="Footer">
    <w:name w:val="footer"/>
    <w:basedOn w:val="Normal"/>
    <w:link w:val="FooterChar"/>
    <w:uiPriority w:val="99"/>
    <w:unhideWhenUsed/>
    <w:rsid w:val="003611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1110"/>
  </w:style>
  <w:style w:type="character" w:customStyle="1" w:styleId="Heading3Char">
    <w:name w:val="Heading 3 Char"/>
    <w:basedOn w:val="DefaultParagraphFont"/>
    <w:link w:val="Heading3"/>
    <w:uiPriority w:val="9"/>
    <w:rsid w:val="009E1963"/>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46118F"/>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7D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5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85E"/>
    <w:rPr>
      <w:rFonts w:ascii="Times New Roman" w:hAnsi="Times New Roman"/>
      <w:sz w:val="20"/>
      <w:szCs w:val="20"/>
    </w:rPr>
  </w:style>
  <w:style w:type="character" w:styleId="FootnoteReference">
    <w:name w:val="footnote reference"/>
    <w:basedOn w:val="DefaultParagraphFont"/>
    <w:uiPriority w:val="99"/>
    <w:semiHidden/>
    <w:unhideWhenUsed/>
    <w:rsid w:val="0096585E"/>
    <w:rPr>
      <w:vertAlign w:val="superscript"/>
    </w:rPr>
  </w:style>
  <w:style w:type="paragraph" w:styleId="Caption">
    <w:name w:val="caption"/>
    <w:basedOn w:val="Normal"/>
    <w:next w:val="Normal"/>
    <w:uiPriority w:val="35"/>
    <w:unhideWhenUsed/>
    <w:qFormat/>
    <w:rsid w:val="006962F7"/>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EE8"/>
    <w:rPr>
      <w:rFonts w:ascii="Times New Roman" w:hAnsi="Times New Roman"/>
      <w:sz w:val="24"/>
    </w:rPr>
  </w:style>
  <w:style w:type="paragraph" w:styleId="Heading1">
    <w:name w:val="heading 1"/>
    <w:basedOn w:val="Normal"/>
    <w:next w:val="Normal"/>
    <w:link w:val="Heading1Char"/>
    <w:uiPriority w:val="9"/>
    <w:qFormat/>
    <w:rsid w:val="00013FCA"/>
    <w:pPr>
      <w:keepNext/>
      <w:keepLines/>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9E1963"/>
    <w:pPr>
      <w:keepNext/>
      <w:keepLines/>
      <w:spacing w:before="20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9E1963"/>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qFormat/>
    <w:rsid w:val="004611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52A5"/>
    <w:rPr>
      <w:b/>
      <w:bCs/>
    </w:rPr>
  </w:style>
  <w:style w:type="paragraph" w:styleId="ListParagraph">
    <w:name w:val="List Paragraph"/>
    <w:basedOn w:val="Normal"/>
    <w:uiPriority w:val="34"/>
    <w:qFormat/>
    <w:rsid w:val="009652A5"/>
    <w:pPr>
      <w:ind w:left="720"/>
      <w:contextualSpacing/>
    </w:pPr>
  </w:style>
  <w:style w:type="paragraph" w:styleId="Subtitle">
    <w:name w:val="Subtitle"/>
    <w:basedOn w:val="Normal"/>
    <w:next w:val="Normal"/>
    <w:link w:val="SubtitleChar"/>
    <w:uiPriority w:val="11"/>
    <w:qFormat/>
    <w:rsid w:val="009652A5"/>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9652A5"/>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13FCA"/>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E1963"/>
    <w:rPr>
      <w:rFonts w:ascii="Times New Roman" w:eastAsiaTheme="majorEastAsia" w:hAnsi="Times New Roman" w:cstheme="majorBidi"/>
      <w:b/>
      <w:bCs/>
      <w:color w:val="000000" w:themeColor="text1"/>
      <w:sz w:val="24"/>
      <w:szCs w:val="26"/>
    </w:rPr>
  </w:style>
  <w:style w:type="paragraph" w:styleId="TOCHeading">
    <w:name w:val="TOC Heading"/>
    <w:basedOn w:val="Heading1"/>
    <w:next w:val="Normal"/>
    <w:uiPriority w:val="39"/>
    <w:unhideWhenUsed/>
    <w:qFormat/>
    <w:rsid w:val="0073138B"/>
    <w:pPr>
      <w:outlineLvl w:val="9"/>
    </w:pPr>
    <w:rPr>
      <w:lang w:val="en-US" w:eastAsia="ja-JP"/>
    </w:rPr>
  </w:style>
  <w:style w:type="paragraph" w:styleId="BalloonText">
    <w:name w:val="Balloon Text"/>
    <w:basedOn w:val="Normal"/>
    <w:link w:val="BalloonTextChar"/>
    <w:uiPriority w:val="99"/>
    <w:semiHidden/>
    <w:unhideWhenUsed/>
    <w:rsid w:val="00731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8B"/>
    <w:rPr>
      <w:rFonts w:ascii="Tahoma" w:hAnsi="Tahoma" w:cs="Tahoma"/>
      <w:sz w:val="16"/>
      <w:szCs w:val="16"/>
    </w:rPr>
  </w:style>
  <w:style w:type="paragraph" w:styleId="TOC2">
    <w:name w:val="toc 2"/>
    <w:basedOn w:val="Normal"/>
    <w:next w:val="Normal"/>
    <w:autoRedefine/>
    <w:uiPriority w:val="39"/>
    <w:unhideWhenUsed/>
    <w:qFormat/>
    <w:rsid w:val="0073138B"/>
    <w:pPr>
      <w:spacing w:after="100"/>
      <w:ind w:left="220"/>
    </w:pPr>
  </w:style>
  <w:style w:type="character" w:styleId="Hyperlink">
    <w:name w:val="Hyperlink"/>
    <w:basedOn w:val="DefaultParagraphFont"/>
    <w:uiPriority w:val="99"/>
    <w:unhideWhenUsed/>
    <w:rsid w:val="0073138B"/>
    <w:rPr>
      <w:color w:val="0000FF" w:themeColor="hyperlink"/>
      <w:u w:val="single"/>
    </w:rPr>
  </w:style>
  <w:style w:type="paragraph" w:styleId="TOC1">
    <w:name w:val="toc 1"/>
    <w:basedOn w:val="Normal"/>
    <w:next w:val="Normal"/>
    <w:autoRedefine/>
    <w:uiPriority w:val="39"/>
    <w:unhideWhenUsed/>
    <w:qFormat/>
    <w:rsid w:val="0073138B"/>
    <w:pPr>
      <w:spacing w:after="100"/>
    </w:pPr>
    <w:rPr>
      <w:rFonts w:eastAsiaTheme="minorEastAsia"/>
      <w:lang w:val="en-US" w:eastAsia="ja-JP"/>
    </w:rPr>
  </w:style>
  <w:style w:type="paragraph" w:styleId="TOC3">
    <w:name w:val="toc 3"/>
    <w:basedOn w:val="Normal"/>
    <w:next w:val="Normal"/>
    <w:autoRedefine/>
    <w:uiPriority w:val="39"/>
    <w:unhideWhenUsed/>
    <w:qFormat/>
    <w:rsid w:val="0073138B"/>
    <w:pPr>
      <w:spacing w:after="100"/>
      <w:ind w:left="440"/>
    </w:pPr>
    <w:rPr>
      <w:rFonts w:eastAsiaTheme="minorEastAsia"/>
      <w:lang w:val="en-US" w:eastAsia="ja-JP"/>
    </w:rPr>
  </w:style>
  <w:style w:type="paragraph" w:styleId="Header">
    <w:name w:val="header"/>
    <w:basedOn w:val="Normal"/>
    <w:link w:val="HeaderChar"/>
    <w:uiPriority w:val="99"/>
    <w:unhideWhenUsed/>
    <w:rsid w:val="003611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61110"/>
  </w:style>
  <w:style w:type="paragraph" w:styleId="Footer">
    <w:name w:val="footer"/>
    <w:basedOn w:val="Normal"/>
    <w:link w:val="FooterChar"/>
    <w:uiPriority w:val="99"/>
    <w:unhideWhenUsed/>
    <w:rsid w:val="003611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61110"/>
  </w:style>
  <w:style w:type="character" w:customStyle="1" w:styleId="Heading3Char">
    <w:name w:val="Heading 3 Char"/>
    <w:basedOn w:val="DefaultParagraphFont"/>
    <w:link w:val="Heading3"/>
    <w:uiPriority w:val="9"/>
    <w:rsid w:val="009E1963"/>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46118F"/>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7D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658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85E"/>
    <w:rPr>
      <w:rFonts w:ascii="Times New Roman" w:hAnsi="Times New Roman"/>
      <w:sz w:val="20"/>
      <w:szCs w:val="20"/>
    </w:rPr>
  </w:style>
  <w:style w:type="character" w:styleId="FootnoteReference">
    <w:name w:val="footnote reference"/>
    <w:basedOn w:val="DefaultParagraphFont"/>
    <w:uiPriority w:val="99"/>
    <w:semiHidden/>
    <w:unhideWhenUsed/>
    <w:rsid w:val="0096585E"/>
    <w:rPr>
      <w:vertAlign w:val="superscript"/>
    </w:rPr>
  </w:style>
  <w:style w:type="paragraph" w:styleId="Caption">
    <w:name w:val="caption"/>
    <w:basedOn w:val="Normal"/>
    <w:next w:val="Normal"/>
    <w:uiPriority w:val="35"/>
    <w:unhideWhenUsed/>
    <w:qFormat/>
    <w:rsid w:val="006962F7"/>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416">
      <w:bodyDiv w:val="1"/>
      <w:marLeft w:val="0"/>
      <w:marRight w:val="0"/>
      <w:marTop w:val="0"/>
      <w:marBottom w:val="0"/>
      <w:divBdr>
        <w:top w:val="none" w:sz="0" w:space="0" w:color="auto"/>
        <w:left w:val="none" w:sz="0" w:space="0" w:color="auto"/>
        <w:bottom w:val="none" w:sz="0" w:space="0" w:color="auto"/>
        <w:right w:val="none" w:sz="0" w:space="0" w:color="auto"/>
      </w:divBdr>
    </w:div>
    <w:div w:id="93284055">
      <w:bodyDiv w:val="1"/>
      <w:marLeft w:val="0"/>
      <w:marRight w:val="0"/>
      <w:marTop w:val="0"/>
      <w:marBottom w:val="0"/>
      <w:divBdr>
        <w:top w:val="none" w:sz="0" w:space="0" w:color="auto"/>
        <w:left w:val="none" w:sz="0" w:space="0" w:color="auto"/>
        <w:bottom w:val="none" w:sz="0" w:space="0" w:color="auto"/>
        <w:right w:val="none" w:sz="0" w:space="0" w:color="auto"/>
      </w:divBdr>
    </w:div>
    <w:div w:id="964889263">
      <w:bodyDiv w:val="1"/>
      <w:marLeft w:val="0"/>
      <w:marRight w:val="0"/>
      <w:marTop w:val="0"/>
      <w:marBottom w:val="0"/>
      <w:divBdr>
        <w:top w:val="none" w:sz="0" w:space="0" w:color="auto"/>
        <w:left w:val="none" w:sz="0" w:space="0" w:color="auto"/>
        <w:bottom w:val="none" w:sz="0" w:space="0" w:color="auto"/>
        <w:right w:val="none" w:sz="0" w:space="0" w:color="auto"/>
      </w:divBdr>
    </w:div>
    <w:div w:id="1347168649">
      <w:bodyDiv w:val="1"/>
      <w:marLeft w:val="0"/>
      <w:marRight w:val="0"/>
      <w:marTop w:val="0"/>
      <w:marBottom w:val="0"/>
      <w:divBdr>
        <w:top w:val="none" w:sz="0" w:space="0" w:color="auto"/>
        <w:left w:val="none" w:sz="0" w:space="0" w:color="auto"/>
        <w:bottom w:val="none" w:sz="0" w:space="0" w:color="auto"/>
        <w:right w:val="none" w:sz="0" w:space="0" w:color="auto"/>
      </w:divBdr>
    </w:div>
    <w:div w:id="19418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39F2-12F0-4168-B1CA-CDCC5ADE2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41882</Words>
  <Characters>238733</Characters>
  <Application>Microsoft Office Word</Application>
  <DocSecurity>0</DocSecurity>
  <Lines>1989</Lines>
  <Paragraphs>560</Paragraphs>
  <ScaleCrop>false</ScaleCrop>
  <HeadingPairs>
    <vt:vector size="2" baseType="variant">
      <vt:variant>
        <vt:lpstr>Title</vt:lpstr>
      </vt:variant>
      <vt:variant>
        <vt:i4>1</vt:i4>
      </vt:variant>
    </vt:vector>
  </HeadingPairs>
  <TitlesOfParts>
    <vt:vector size="1" baseType="lpstr">
      <vt:lpstr/>
    </vt:vector>
  </TitlesOfParts>
  <Company>MEF</Company>
  <LinksUpToDate>false</LinksUpToDate>
  <CharactersWithSpaces>280055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Tamara Nikuševa-Martić</cp:lastModifiedBy>
  <cp:revision>2</cp:revision>
  <cp:lastPrinted>2019-05-02T12:04:00Z</cp:lastPrinted>
  <dcterms:created xsi:type="dcterms:W3CDTF">2019-05-02T12:11:00Z</dcterms:created>
  <dcterms:modified xsi:type="dcterms:W3CDTF">2019-05-02T12:11:00Z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ade64cb0-edee-3935-8118-d3578902a69f</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