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2C93F" w14:textId="77777777" w:rsidR="006143D1" w:rsidRPr="006143D1" w:rsidRDefault="006143D1" w:rsidP="006143D1">
      <w:pPr>
        <w:pStyle w:val="Heading1"/>
        <w:jc w:val="center"/>
        <w:rPr>
          <w:rFonts w:ascii="Arial" w:hAnsi="Arial" w:cs="Arial"/>
          <w:b/>
          <w:color w:val="auto"/>
          <w:sz w:val="24"/>
          <w:szCs w:val="24"/>
        </w:rPr>
      </w:pPr>
      <w:bookmarkStart w:id="0" w:name="_Toc386475767"/>
      <w:r w:rsidRPr="006143D1">
        <w:rPr>
          <w:rFonts w:ascii="Arial" w:hAnsi="Arial" w:cs="Arial"/>
          <w:b/>
          <w:color w:val="auto"/>
          <w:sz w:val="24"/>
          <w:szCs w:val="24"/>
        </w:rPr>
        <w:t>Sveučilište u Zagrebu</w:t>
      </w:r>
    </w:p>
    <w:p w14:paraId="70FF5FAF" w14:textId="77777777" w:rsidR="006143D1" w:rsidRPr="006143D1" w:rsidRDefault="006143D1" w:rsidP="006143D1">
      <w:pPr>
        <w:pStyle w:val="Heading1"/>
        <w:jc w:val="center"/>
        <w:rPr>
          <w:rFonts w:ascii="Arial" w:hAnsi="Arial" w:cs="Arial"/>
          <w:b/>
          <w:color w:val="auto"/>
          <w:sz w:val="24"/>
          <w:szCs w:val="24"/>
        </w:rPr>
      </w:pPr>
      <w:r w:rsidRPr="006143D1">
        <w:rPr>
          <w:rFonts w:ascii="Arial" w:hAnsi="Arial" w:cs="Arial"/>
          <w:b/>
          <w:color w:val="auto"/>
          <w:sz w:val="24"/>
          <w:szCs w:val="24"/>
        </w:rPr>
        <w:t>Medicinski fakultet</w:t>
      </w:r>
    </w:p>
    <w:p w14:paraId="1006A8B3" w14:textId="77777777" w:rsidR="006143D1" w:rsidRPr="006143D1" w:rsidRDefault="006143D1" w:rsidP="006143D1">
      <w:pPr>
        <w:pStyle w:val="Heading1"/>
        <w:jc w:val="center"/>
        <w:rPr>
          <w:rFonts w:ascii="Arial" w:hAnsi="Arial" w:cs="Arial"/>
          <w:b/>
          <w:color w:val="auto"/>
          <w:sz w:val="24"/>
          <w:szCs w:val="24"/>
        </w:rPr>
      </w:pPr>
    </w:p>
    <w:p w14:paraId="6A8292B2" w14:textId="77777777" w:rsidR="006143D1" w:rsidRPr="006143D1" w:rsidRDefault="006143D1" w:rsidP="006143D1">
      <w:pPr>
        <w:pStyle w:val="Heading1"/>
        <w:jc w:val="center"/>
        <w:rPr>
          <w:rFonts w:ascii="Arial" w:hAnsi="Arial" w:cs="Arial"/>
          <w:b/>
          <w:color w:val="auto"/>
          <w:sz w:val="24"/>
          <w:szCs w:val="24"/>
        </w:rPr>
      </w:pPr>
    </w:p>
    <w:p w14:paraId="2E42B54B" w14:textId="77777777" w:rsidR="006143D1" w:rsidRPr="006143D1" w:rsidRDefault="006143D1" w:rsidP="006143D1">
      <w:pPr>
        <w:pStyle w:val="Heading1"/>
        <w:jc w:val="center"/>
        <w:rPr>
          <w:rFonts w:ascii="Arial" w:hAnsi="Arial" w:cs="Arial"/>
          <w:b/>
          <w:color w:val="auto"/>
          <w:sz w:val="24"/>
          <w:szCs w:val="24"/>
        </w:rPr>
      </w:pPr>
    </w:p>
    <w:p w14:paraId="5031D709" w14:textId="77777777" w:rsidR="006143D1" w:rsidRPr="006143D1" w:rsidRDefault="006143D1" w:rsidP="006143D1">
      <w:pPr>
        <w:pStyle w:val="Heading1"/>
        <w:jc w:val="center"/>
        <w:rPr>
          <w:rFonts w:ascii="Arial" w:hAnsi="Arial" w:cs="Arial"/>
          <w:b/>
          <w:color w:val="auto"/>
          <w:sz w:val="24"/>
          <w:szCs w:val="24"/>
        </w:rPr>
      </w:pPr>
    </w:p>
    <w:p w14:paraId="2313577A" w14:textId="77777777" w:rsidR="006143D1" w:rsidRPr="006143D1" w:rsidRDefault="006143D1" w:rsidP="006143D1">
      <w:pPr>
        <w:pStyle w:val="Heading1"/>
        <w:jc w:val="center"/>
        <w:rPr>
          <w:rFonts w:ascii="Arial" w:hAnsi="Arial" w:cs="Arial"/>
          <w:b/>
          <w:color w:val="auto"/>
          <w:sz w:val="24"/>
          <w:szCs w:val="24"/>
        </w:rPr>
      </w:pPr>
    </w:p>
    <w:p w14:paraId="380FA9AE" w14:textId="77777777" w:rsidR="006143D1" w:rsidRPr="006143D1" w:rsidRDefault="006143D1" w:rsidP="006143D1">
      <w:pPr>
        <w:pStyle w:val="Heading1"/>
        <w:jc w:val="center"/>
        <w:rPr>
          <w:rFonts w:ascii="Arial" w:hAnsi="Arial" w:cs="Arial"/>
          <w:b/>
          <w:color w:val="auto"/>
          <w:sz w:val="24"/>
          <w:szCs w:val="24"/>
        </w:rPr>
      </w:pPr>
    </w:p>
    <w:p w14:paraId="4BED4131" w14:textId="77777777" w:rsidR="006143D1" w:rsidRPr="006143D1" w:rsidRDefault="006143D1" w:rsidP="006143D1">
      <w:pPr>
        <w:pStyle w:val="Heading1"/>
        <w:jc w:val="center"/>
        <w:rPr>
          <w:rFonts w:ascii="Arial" w:hAnsi="Arial" w:cs="Arial"/>
          <w:b/>
          <w:color w:val="auto"/>
          <w:sz w:val="24"/>
          <w:szCs w:val="24"/>
        </w:rPr>
      </w:pPr>
      <w:r w:rsidRPr="006143D1">
        <w:rPr>
          <w:rFonts w:ascii="Arial" w:hAnsi="Arial" w:cs="Arial"/>
          <w:b/>
          <w:color w:val="auto"/>
          <w:sz w:val="24"/>
          <w:szCs w:val="24"/>
        </w:rPr>
        <w:t>Jan Homolak</w:t>
      </w:r>
    </w:p>
    <w:p w14:paraId="67EACB7E" w14:textId="77777777" w:rsidR="006143D1" w:rsidRPr="006143D1" w:rsidRDefault="006143D1" w:rsidP="006143D1">
      <w:pPr>
        <w:pStyle w:val="Heading1"/>
        <w:jc w:val="center"/>
        <w:rPr>
          <w:rFonts w:ascii="Arial" w:hAnsi="Arial" w:cs="Arial"/>
          <w:b/>
          <w:color w:val="auto"/>
          <w:sz w:val="24"/>
          <w:szCs w:val="24"/>
        </w:rPr>
      </w:pPr>
      <w:r w:rsidRPr="006143D1">
        <w:rPr>
          <w:rFonts w:ascii="Arial" w:hAnsi="Arial" w:cs="Arial"/>
          <w:b/>
          <w:color w:val="auto"/>
          <w:sz w:val="24"/>
          <w:szCs w:val="24"/>
        </w:rPr>
        <w:t>BIOKEMIJSKE PROMJENE DORZALNE MOTORNE JEZGRE VAGUSA U ŠTAKORSKOM MODELU SPORADIČNE ALZHEIMEROVE BOLESTI</w:t>
      </w:r>
    </w:p>
    <w:p w14:paraId="358D80AF" w14:textId="77777777" w:rsidR="006143D1" w:rsidRPr="006143D1" w:rsidRDefault="006143D1" w:rsidP="006143D1">
      <w:pPr>
        <w:pStyle w:val="Heading1"/>
        <w:jc w:val="center"/>
        <w:rPr>
          <w:rFonts w:ascii="Arial" w:hAnsi="Arial" w:cs="Arial"/>
          <w:b/>
          <w:color w:val="auto"/>
          <w:sz w:val="24"/>
          <w:szCs w:val="24"/>
        </w:rPr>
      </w:pPr>
    </w:p>
    <w:p w14:paraId="108E803C" w14:textId="77777777" w:rsidR="006143D1" w:rsidRPr="006143D1" w:rsidRDefault="006143D1" w:rsidP="006143D1">
      <w:pPr>
        <w:pStyle w:val="Heading1"/>
        <w:jc w:val="center"/>
        <w:rPr>
          <w:rFonts w:ascii="Arial" w:hAnsi="Arial" w:cs="Arial"/>
          <w:b/>
          <w:color w:val="auto"/>
          <w:sz w:val="24"/>
          <w:szCs w:val="24"/>
        </w:rPr>
      </w:pPr>
    </w:p>
    <w:p w14:paraId="45DA3C49" w14:textId="77777777" w:rsidR="006143D1" w:rsidRPr="006143D1" w:rsidRDefault="006143D1" w:rsidP="006143D1">
      <w:pPr>
        <w:pStyle w:val="Heading1"/>
        <w:jc w:val="center"/>
        <w:rPr>
          <w:rFonts w:ascii="Arial" w:hAnsi="Arial" w:cs="Arial"/>
          <w:b/>
          <w:color w:val="auto"/>
          <w:sz w:val="24"/>
          <w:szCs w:val="24"/>
        </w:rPr>
      </w:pPr>
    </w:p>
    <w:p w14:paraId="6047A917" w14:textId="77777777" w:rsidR="006143D1" w:rsidRPr="006143D1" w:rsidRDefault="006143D1" w:rsidP="006143D1">
      <w:pPr>
        <w:pStyle w:val="Heading1"/>
        <w:jc w:val="center"/>
        <w:rPr>
          <w:rFonts w:ascii="Arial" w:hAnsi="Arial" w:cs="Arial"/>
          <w:b/>
          <w:color w:val="auto"/>
          <w:sz w:val="24"/>
          <w:szCs w:val="24"/>
        </w:rPr>
      </w:pPr>
    </w:p>
    <w:p w14:paraId="382EB8C3" w14:textId="77777777" w:rsidR="006143D1" w:rsidRPr="006143D1" w:rsidRDefault="006143D1" w:rsidP="006143D1">
      <w:pPr>
        <w:pStyle w:val="Heading1"/>
        <w:jc w:val="center"/>
        <w:rPr>
          <w:rFonts w:ascii="Arial" w:hAnsi="Arial" w:cs="Arial"/>
          <w:b/>
          <w:color w:val="auto"/>
          <w:sz w:val="24"/>
          <w:szCs w:val="24"/>
        </w:rPr>
      </w:pPr>
    </w:p>
    <w:p w14:paraId="7372EFC5" w14:textId="77777777" w:rsidR="006143D1" w:rsidRPr="006143D1" w:rsidRDefault="006143D1" w:rsidP="006143D1">
      <w:pPr>
        <w:pStyle w:val="Heading1"/>
        <w:jc w:val="center"/>
        <w:rPr>
          <w:rFonts w:ascii="Arial" w:hAnsi="Arial" w:cs="Arial"/>
          <w:b/>
          <w:color w:val="auto"/>
          <w:sz w:val="24"/>
          <w:szCs w:val="24"/>
        </w:rPr>
      </w:pPr>
    </w:p>
    <w:p w14:paraId="1AD76635" w14:textId="2E740C60" w:rsidR="006143D1" w:rsidRDefault="006143D1" w:rsidP="006143D1">
      <w:pPr>
        <w:pStyle w:val="Heading1"/>
        <w:jc w:val="center"/>
        <w:rPr>
          <w:rFonts w:ascii="Arial" w:hAnsi="Arial" w:cs="Arial"/>
          <w:b/>
          <w:color w:val="auto"/>
          <w:sz w:val="24"/>
          <w:szCs w:val="24"/>
        </w:rPr>
      </w:pPr>
      <w:r w:rsidRPr="006143D1">
        <w:rPr>
          <w:rFonts w:ascii="Arial" w:hAnsi="Arial" w:cs="Arial"/>
          <w:b/>
          <w:color w:val="auto"/>
          <w:sz w:val="24"/>
          <w:szCs w:val="24"/>
        </w:rPr>
        <w:t>Zagreb, 2018.</w:t>
      </w:r>
    </w:p>
    <w:p w14:paraId="350B8AEE" w14:textId="68621AA3" w:rsidR="00EC3FB2" w:rsidRDefault="00EC3FB2" w:rsidP="00EC3FB2"/>
    <w:p w14:paraId="16A4BC21" w14:textId="3ECDACF3" w:rsidR="00EC3FB2" w:rsidRDefault="00EC3FB2" w:rsidP="00EC3FB2"/>
    <w:p w14:paraId="7370AB0F" w14:textId="6FF56513" w:rsidR="00EC3FB2" w:rsidRDefault="00EC3FB2" w:rsidP="00EC3FB2"/>
    <w:p w14:paraId="296F0E50" w14:textId="77777777" w:rsidR="00EC3FB2" w:rsidRPr="00294F67" w:rsidRDefault="00EC3FB2" w:rsidP="00EC3FB2">
      <w:pPr>
        <w:spacing w:line="360" w:lineRule="auto"/>
        <w:jc w:val="both"/>
        <w:rPr>
          <w:rFonts w:ascii="Arial" w:hAnsi="Arial" w:cs="Arial"/>
          <w:sz w:val="20"/>
          <w:szCs w:val="20"/>
        </w:rPr>
      </w:pPr>
    </w:p>
    <w:p w14:paraId="4894F420" w14:textId="77777777" w:rsidR="00EC3FB2" w:rsidRDefault="00EC3FB2" w:rsidP="00EC3FB2">
      <w:pPr>
        <w:spacing w:line="360" w:lineRule="auto"/>
        <w:jc w:val="both"/>
        <w:rPr>
          <w:rFonts w:ascii="Arial" w:hAnsi="Arial" w:cs="Arial"/>
          <w:sz w:val="20"/>
          <w:szCs w:val="20"/>
        </w:rPr>
      </w:pPr>
    </w:p>
    <w:p w14:paraId="12115567" w14:textId="77777777" w:rsidR="00EC3FB2" w:rsidRDefault="00EC3FB2" w:rsidP="00EC3FB2">
      <w:pPr>
        <w:spacing w:line="360" w:lineRule="auto"/>
        <w:jc w:val="both"/>
        <w:rPr>
          <w:rFonts w:ascii="Arial" w:hAnsi="Arial" w:cs="Arial"/>
          <w:sz w:val="20"/>
          <w:szCs w:val="20"/>
        </w:rPr>
      </w:pPr>
    </w:p>
    <w:p w14:paraId="09852636" w14:textId="77777777" w:rsidR="00EC3FB2" w:rsidRDefault="00EC3FB2" w:rsidP="00EC3FB2">
      <w:pPr>
        <w:spacing w:line="360" w:lineRule="auto"/>
        <w:jc w:val="both"/>
        <w:rPr>
          <w:rFonts w:ascii="Arial" w:hAnsi="Arial" w:cs="Arial"/>
          <w:sz w:val="20"/>
          <w:szCs w:val="20"/>
        </w:rPr>
      </w:pPr>
    </w:p>
    <w:p w14:paraId="252EEB8F" w14:textId="77777777" w:rsidR="00EC3FB2" w:rsidRDefault="00EC3FB2" w:rsidP="00EC3FB2">
      <w:pPr>
        <w:spacing w:line="360" w:lineRule="auto"/>
        <w:jc w:val="both"/>
        <w:rPr>
          <w:rFonts w:ascii="Arial" w:hAnsi="Arial" w:cs="Arial"/>
          <w:sz w:val="20"/>
          <w:szCs w:val="20"/>
        </w:rPr>
      </w:pPr>
    </w:p>
    <w:p w14:paraId="3259E049" w14:textId="77777777" w:rsidR="00EC3FB2" w:rsidRDefault="00EC3FB2" w:rsidP="00EC3FB2">
      <w:pPr>
        <w:spacing w:line="360" w:lineRule="auto"/>
        <w:jc w:val="both"/>
        <w:rPr>
          <w:rFonts w:ascii="Arial" w:hAnsi="Arial" w:cs="Arial"/>
          <w:sz w:val="20"/>
          <w:szCs w:val="20"/>
        </w:rPr>
      </w:pPr>
    </w:p>
    <w:p w14:paraId="2484EC14" w14:textId="1046FBF7" w:rsidR="00EC3FB2" w:rsidRPr="00294F67" w:rsidRDefault="00EC3FB2" w:rsidP="00EC3FB2">
      <w:pPr>
        <w:spacing w:line="360" w:lineRule="auto"/>
        <w:jc w:val="both"/>
        <w:rPr>
          <w:rFonts w:ascii="Arial" w:hAnsi="Arial" w:cs="Arial"/>
          <w:sz w:val="20"/>
          <w:szCs w:val="20"/>
        </w:rPr>
      </w:pPr>
      <w:r w:rsidRPr="00294F67">
        <w:rPr>
          <w:rFonts w:ascii="Arial" w:hAnsi="Arial" w:cs="Arial"/>
          <w:sz w:val="20"/>
          <w:szCs w:val="20"/>
        </w:rPr>
        <w:t>Ovaj rad izrađen je u Laboratoriju za molekularnu neurofarmakologiju na Zavodu za farmakologiju i Hrvatskom institutu za istraživanje mozga Medicinskog fakulteta Sveučilišta u Zagrebu, pod mentorskim vodstvom dr.sc. Ane Knezović u sklopu znanstvenog projekta „</w:t>
      </w:r>
      <w:r w:rsidRPr="00294F67">
        <w:rPr>
          <w:rFonts w:ascii="Arial" w:hAnsi="Arial" w:cs="Arial"/>
          <w:b/>
          <w:sz w:val="20"/>
          <w:szCs w:val="20"/>
        </w:rPr>
        <w:t>Therapeutic potential of oral galactose in experimental Alzheimer’s disease (GALAD)</w:t>
      </w:r>
      <w:r w:rsidRPr="00294F67">
        <w:rPr>
          <w:rFonts w:ascii="Arial" w:hAnsi="Arial" w:cs="Arial"/>
          <w:sz w:val="20"/>
          <w:szCs w:val="20"/>
        </w:rPr>
        <w:t>“</w:t>
      </w:r>
      <w:r w:rsidRPr="00294F67">
        <w:rPr>
          <w:rFonts w:ascii="Arial" w:hAnsi="Arial" w:cs="Arial"/>
          <w:sz w:val="20"/>
          <w:szCs w:val="20"/>
          <w:lang w:val="en-GB"/>
        </w:rPr>
        <w:t xml:space="preserve"> (šifra projekta</w:t>
      </w:r>
      <w:r w:rsidR="00450815">
        <w:rPr>
          <w:rFonts w:ascii="Arial" w:hAnsi="Arial" w:cs="Arial"/>
          <w:sz w:val="20"/>
          <w:szCs w:val="20"/>
          <w:lang w:val="en-GB"/>
        </w:rPr>
        <w:t xml:space="preserve"> </w:t>
      </w:r>
      <w:bookmarkStart w:id="1" w:name="_GoBack"/>
      <w:bookmarkEnd w:id="1"/>
      <w:r w:rsidRPr="00294F67">
        <w:rPr>
          <w:rFonts w:ascii="Arial" w:hAnsi="Arial" w:cs="Arial"/>
          <w:sz w:val="20"/>
          <w:szCs w:val="20"/>
          <w:lang w:val="en-GB"/>
        </w:rPr>
        <w:t xml:space="preserve">HRZZ-IP-2014-09-4639, voditelj projekta prof.dr.sc. Melita Šalković-Petrišić) i </w:t>
      </w:r>
      <w:r w:rsidRPr="00294F67">
        <w:rPr>
          <w:rFonts w:ascii="Arial" w:hAnsi="Arial" w:cs="Arial"/>
          <w:sz w:val="20"/>
          <w:szCs w:val="20"/>
        </w:rPr>
        <w:t>predan je na natječaj za dodjelu Rektorove nagrade u akademskoj godini 2017./2018.</w:t>
      </w:r>
    </w:p>
    <w:p w14:paraId="1A618D04" w14:textId="77777777" w:rsidR="00EC3FB2" w:rsidRPr="00294F67" w:rsidRDefault="00EC3FB2" w:rsidP="00EC3FB2">
      <w:pPr>
        <w:spacing w:line="360" w:lineRule="auto"/>
        <w:jc w:val="both"/>
        <w:rPr>
          <w:rFonts w:ascii="Arial" w:hAnsi="Arial" w:cs="Arial"/>
          <w:sz w:val="20"/>
          <w:szCs w:val="20"/>
        </w:rPr>
      </w:pPr>
    </w:p>
    <w:p w14:paraId="34337281" w14:textId="77777777" w:rsidR="00EC3FB2" w:rsidRPr="00EC3FB2" w:rsidRDefault="00EC3FB2" w:rsidP="00EC3FB2"/>
    <w:p w14:paraId="23E40C7B" w14:textId="4ED576EC" w:rsidR="006143D1" w:rsidRPr="006143D1" w:rsidRDefault="006143D1" w:rsidP="006143D1">
      <w:pPr>
        <w:pStyle w:val="Heading1"/>
        <w:rPr>
          <w:rFonts w:ascii="Arial" w:hAnsi="Arial" w:cs="Arial"/>
          <w:b/>
          <w:color w:val="auto"/>
          <w:sz w:val="20"/>
          <w:szCs w:val="20"/>
        </w:rPr>
      </w:pPr>
      <w:r w:rsidRPr="006143D1">
        <w:rPr>
          <w:rFonts w:ascii="Arial" w:hAnsi="Arial" w:cs="Arial"/>
          <w:b/>
          <w:color w:val="auto"/>
          <w:sz w:val="20"/>
          <w:szCs w:val="20"/>
        </w:rPr>
        <w:lastRenderedPageBreak/>
        <w:t>POPIS KRATICA</w:t>
      </w:r>
    </w:p>
    <w:p w14:paraId="7EBF9442" w14:textId="77777777" w:rsidR="006143D1" w:rsidRPr="006143D1" w:rsidRDefault="006143D1" w:rsidP="006143D1">
      <w:pPr>
        <w:pStyle w:val="Heading1"/>
        <w:rPr>
          <w:rFonts w:ascii="Arial" w:hAnsi="Arial" w:cs="Arial"/>
          <w:b/>
          <w:color w:val="auto"/>
          <w:sz w:val="20"/>
          <w:szCs w:val="20"/>
        </w:rPr>
      </w:pPr>
    </w:p>
    <w:p w14:paraId="31C73DAF" w14:textId="20628A62" w:rsidR="006143D1" w:rsidRPr="006143D1" w:rsidRDefault="006143D1" w:rsidP="006143D1">
      <w:pPr>
        <w:pStyle w:val="Heading1"/>
        <w:rPr>
          <w:rFonts w:ascii="Arial" w:hAnsi="Arial" w:cs="Arial"/>
          <w:i/>
          <w:iCs/>
          <w:color w:val="auto"/>
          <w:sz w:val="20"/>
          <w:szCs w:val="20"/>
          <w:lang w:val="en-US"/>
        </w:rPr>
      </w:pPr>
      <w:r w:rsidRPr="006143D1">
        <w:rPr>
          <w:rFonts w:ascii="Arial" w:hAnsi="Arial" w:cs="Arial"/>
          <w:b/>
          <w:color w:val="auto"/>
          <w:sz w:val="20"/>
          <w:szCs w:val="20"/>
          <w:lang w:val="en-US"/>
        </w:rPr>
        <w:t>AD:</w:t>
      </w:r>
      <w:r w:rsidRPr="006143D1">
        <w:rPr>
          <w:rFonts w:ascii="Arial" w:hAnsi="Arial" w:cs="Arial"/>
          <w:b/>
          <w:color w:val="auto"/>
          <w:sz w:val="20"/>
          <w:szCs w:val="20"/>
          <w:lang w:val="en-US"/>
        </w:rPr>
        <w:tab/>
      </w:r>
      <w:r w:rsidRPr="006143D1">
        <w:rPr>
          <w:rFonts w:ascii="Arial" w:hAnsi="Arial" w:cs="Arial"/>
          <w:b/>
          <w:color w:val="auto"/>
          <w:sz w:val="20"/>
          <w:szCs w:val="20"/>
          <w:lang w:val="en-US"/>
        </w:rPr>
        <w:tab/>
      </w:r>
      <w:r w:rsidRPr="006143D1">
        <w:rPr>
          <w:rFonts w:ascii="Arial" w:hAnsi="Arial" w:cs="Arial"/>
          <w:color w:val="auto"/>
          <w:sz w:val="20"/>
          <w:szCs w:val="20"/>
          <w:lang w:val="en-US"/>
        </w:rPr>
        <w:t xml:space="preserve">Alzheimerova bolest (eng. </w:t>
      </w:r>
      <w:r w:rsidRPr="006143D1">
        <w:rPr>
          <w:rFonts w:ascii="Arial" w:hAnsi="Arial" w:cs="Arial"/>
          <w:i/>
          <w:iCs/>
          <w:color w:val="auto"/>
          <w:sz w:val="20"/>
          <w:szCs w:val="20"/>
          <w:lang w:val="en-US"/>
        </w:rPr>
        <w:t>Alzheimer's disease</w:t>
      </w:r>
      <w:r w:rsidRPr="006143D1">
        <w:rPr>
          <w:rFonts w:ascii="Arial" w:hAnsi="Arial" w:cs="Arial"/>
          <w:iCs/>
          <w:color w:val="auto"/>
          <w:sz w:val="20"/>
          <w:szCs w:val="20"/>
          <w:lang w:val="en-US"/>
        </w:rPr>
        <w:t>)</w:t>
      </w:r>
      <w:r>
        <w:rPr>
          <w:rFonts w:ascii="Arial" w:hAnsi="Arial" w:cs="Arial"/>
          <w:b/>
          <w:iCs/>
          <w:color w:val="auto"/>
          <w:sz w:val="20"/>
          <w:szCs w:val="20"/>
          <w:lang w:val="en-US"/>
        </w:rPr>
        <w:br/>
      </w:r>
      <w:r w:rsidRPr="006143D1">
        <w:rPr>
          <w:rFonts w:ascii="Arial" w:hAnsi="Arial" w:cs="Arial"/>
          <w:b/>
          <w:color w:val="auto"/>
          <w:sz w:val="20"/>
          <w:szCs w:val="20"/>
          <w:lang w:val="en-US"/>
        </w:rPr>
        <w:t>sAD:</w:t>
      </w:r>
      <w:r w:rsidRPr="006143D1">
        <w:rPr>
          <w:rFonts w:ascii="Arial" w:hAnsi="Arial" w:cs="Arial"/>
          <w:b/>
          <w:color w:val="auto"/>
          <w:sz w:val="20"/>
          <w:szCs w:val="20"/>
          <w:lang w:val="en-US"/>
        </w:rPr>
        <w:tab/>
      </w:r>
      <w:r w:rsidRPr="006143D1">
        <w:rPr>
          <w:rFonts w:ascii="Arial" w:hAnsi="Arial" w:cs="Arial"/>
          <w:b/>
          <w:color w:val="auto"/>
          <w:sz w:val="20"/>
          <w:szCs w:val="20"/>
          <w:lang w:val="en-US"/>
        </w:rPr>
        <w:tab/>
      </w:r>
      <w:r w:rsidRPr="006143D1">
        <w:rPr>
          <w:rFonts w:ascii="Arial" w:hAnsi="Arial" w:cs="Arial"/>
          <w:color w:val="auto"/>
          <w:sz w:val="20"/>
          <w:szCs w:val="20"/>
          <w:lang w:val="en-US"/>
        </w:rPr>
        <w:t xml:space="preserve">sporadični oblik Alzheimerove bolesti (eng. </w:t>
      </w:r>
      <w:r w:rsidRPr="006143D1">
        <w:rPr>
          <w:rFonts w:ascii="Arial" w:hAnsi="Arial" w:cs="Arial"/>
          <w:i/>
          <w:iCs/>
          <w:color w:val="auto"/>
          <w:sz w:val="20"/>
          <w:szCs w:val="20"/>
          <w:lang w:val="en-US"/>
        </w:rPr>
        <w:t>sporadic Alzheimer's disease</w:t>
      </w:r>
      <w:r w:rsidRPr="006143D1">
        <w:rPr>
          <w:rFonts w:ascii="Arial" w:hAnsi="Arial" w:cs="Arial"/>
          <w:iCs/>
          <w:color w:val="auto"/>
          <w:sz w:val="20"/>
          <w:szCs w:val="20"/>
          <w:lang w:val="en-US"/>
        </w:rPr>
        <w:t xml:space="preserve">) </w:t>
      </w:r>
      <w:r>
        <w:rPr>
          <w:rFonts w:ascii="Arial" w:hAnsi="Arial" w:cs="Arial"/>
          <w:iCs/>
          <w:color w:val="auto"/>
          <w:sz w:val="20"/>
          <w:szCs w:val="20"/>
          <w:lang w:val="en-US"/>
        </w:rPr>
        <w:br/>
      </w:r>
      <w:r w:rsidRPr="006143D1">
        <w:rPr>
          <w:rFonts w:ascii="Arial" w:hAnsi="Arial" w:cs="Arial"/>
          <w:b/>
          <w:iCs/>
          <w:color w:val="auto"/>
          <w:sz w:val="20"/>
          <w:szCs w:val="20"/>
          <w:lang w:val="en-US"/>
        </w:rPr>
        <w:t xml:space="preserve">fAD: </w:t>
      </w:r>
      <w:r w:rsidRPr="006143D1">
        <w:rPr>
          <w:rFonts w:ascii="Arial" w:hAnsi="Arial" w:cs="Arial"/>
          <w:b/>
          <w:iCs/>
          <w:color w:val="auto"/>
          <w:sz w:val="20"/>
          <w:szCs w:val="20"/>
          <w:lang w:val="en-US"/>
        </w:rPr>
        <w:tab/>
      </w:r>
      <w:r w:rsidRPr="006143D1">
        <w:rPr>
          <w:rFonts w:ascii="Arial" w:hAnsi="Arial" w:cs="Arial"/>
          <w:b/>
          <w:iCs/>
          <w:color w:val="auto"/>
          <w:sz w:val="20"/>
          <w:szCs w:val="20"/>
          <w:lang w:val="en-US"/>
        </w:rPr>
        <w:tab/>
      </w:r>
      <w:r w:rsidRPr="006143D1">
        <w:rPr>
          <w:rFonts w:ascii="Arial" w:hAnsi="Arial" w:cs="Arial"/>
          <w:iCs/>
          <w:color w:val="auto"/>
          <w:sz w:val="20"/>
          <w:szCs w:val="20"/>
          <w:lang w:val="en-US"/>
        </w:rPr>
        <w:t>obiteljski oblik Alzheimerove bolesti (eng</w:t>
      </w:r>
      <w:r w:rsidRPr="006143D1">
        <w:rPr>
          <w:rFonts w:ascii="Arial" w:hAnsi="Arial" w:cs="Arial"/>
          <w:i/>
          <w:iCs/>
          <w:color w:val="auto"/>
          <w:sz w:val="20"/>
          <w:szCs w:val="20"/>
          <w:lang w:val="en-US"/>
        </w:rPr>
        <w:t>. familial Alzheimer’s disease</w:t>
      </w:r>
      <w:r w:rsidRPr="006143D1">
        <w:rPr>
          <w:rFonts w:ascii="Arial" w:hAnsi="Arial" w:cs="Arial"/>
          <w:iCs/>
          <w:color w:val="auto"/>
          <w:sz w:val="20"/>
          <w:szCs w:val="20"/>
          <w:lang w:val="en-US"/>
        </w:rPr>
        <w:t>)</w:t>
      </w:r>
      <w:r w:rsidRPr="006143D1">
        <w:rPr>
          <w:rFonts w:ascii="Arial" w:hAnsi="Arial" w:cs="Arial"/>
          <w:b/>
          <w:iCs/>
          <w:color w:val="auto"/>
          <w:sz w:val="20"/>
          <w:szCs w:val="20"/>
          <w:lang w:val="en-US"/>
        </w:rPr>
        <w:t xml:space="preserve"> </w:t>
      </w:r>
      <w:r w:rsidRPr="006143D1">
        <w:rPr>
          <w:rFonts w:ascii="Arial" w:hAnsi="Arial" w:cs="Arial"/>
          <w:b/>
          <w:iCs/>
          <w:color w:val="auto"/>
          <w:sz w:val="20"/>
          <w:szCs w:val="20"/>
          <w:lang w:val="en-US"/>
        </w:rPr>
        <w:br/>
      </w:r>
      <w:r w:rsidRPr="006143D1">
        <w:rPr>
          <w:rFonts w:ascii="Arial" w:hAnsi="Arial" w:cs="Arial"/>
          <w:b/>
          <w:color w:val="auto"/>
          <w:sz w:val="20"/>
          <w:szCs w:val="20"/>
          <w:lang w:val="en-US"/>
        </w:rPr>
        <w:t>Aβ:</w:t>
      </w:r>
      <w:r w:rsidRPr="006143D1">
        <w:rPr>
          <w:rFonts w:ascii="Arial" w:hAnsi="Arial" w:cs="Arial"/>
          <w:b/>
          <w:color w:val="auto"/>
          <w:sz w:val="20"/>
          <w:szCs w:val="20"/>
          <w:lang w:val="en-US"/>
        </w:rPr>
        <w:tab/>
      </w:r>
      <w:r w:rsidRPr="006143D1">
        <w:rPr>
          <w:rFonts w:ascii="Arial" w:hAnsi="Arial" w:cs="Arial"/>
          <w:b/>
          <w:color w:val="auto"/>
          <w:sz w:val="20"/>
          <w:szCs w:val="20"/>
          <w:lang w:val="en-US"/>
        </w:rPr>
        <w:tab/>
      </w:r>
      <w:r w:rsidRPr="006143D1">
        <w:rPr>
          <w:rFonts w:ascii="Arial" w:hAnsi="Arial" w:cs="Arial"/>
          <w:color w:val="auto"/>
          <w:sz w:val="20"/>
          <w:szCs w:val="20"/>
          <w:lang w:val="el-GR"/>
        </w:rPr>
        <w:t>β</w:t>
      </w:r>
      <w:r w:rsidRPr="006143D1">
        <w:rPr>
          <w:rFonts w:ascii="Arial" w:hAnsi="Arial" w:cs="Arial"/>
          <w:color w:val="auto"/>
          <w:sz w:val="20"/>
          <w:szCs w:val="20"/>
          <w:lang w:val="en-US"/>
        </w:rPr>
        <w:t>-amiloidni peptid</w:t>
      </w:r>
      <w:r w:rsidRPr="006143D1">
        <w:rPr>
          <w:rFonts w:ascii="Arial" w:hAnsi="Arial" w:cs="Arial"/>
          <w:color w:val="auto"/>
          <w:sz w:val="20"/>
          <w:szCs w:val="20"/>
          <w:lang w:val="en-US"/>
        </w:rPr>
        <w:br/>
      </w:r>
      <w:r w:rsidRPr="006143D1">
        <w:rPr>
          <w:rFonts w:ascii="Arial" w:hAnsi="Arial" w:cs="Arial"/>
          <w:b/>
          <w:iCs/>
          <w:color w:val="auto"/>
          <w:sz w:val="20"/>
          <w:szCs w:val="20"/>
          <w:lang w:val="en-US"/>
        </w:rPr>
        <w:t>AP:</w:t>
      </w:r>
      <w:r w:rsidRPr="006143D1">
        <w:rPr>
          <w:rFonts w:ascii="Arial" w:hAnsi="Arial" w:cs="Arial"/>
          <w:b/>
          <w:iCs/>
          <w:color w:val="auto"/>
          <w:sz w:val="20"/>
          <w:szCs w:val="20"/>
          <w:lang w:val="en-US"/>
        </w:rPr>
        <w:tab/>
      </w:r>
      <w:r w:rsidRPr="006143D1">
        <w:rPr>
          <w:rFonts w:ascii="Arial" w:hAnsi="Arial" w:cs="Arial"/>
          <w:b/>
          <w:iCs/>
          <w:color w:val="auto"/>
          <w:sz w:val="20"/>
          <w:szCs w:val="20"/>
          <w:lang w:val="en-US"/>
        </w:rPr>
        <w:tab/>
      </w:r>
      <w:r w:rsidRPr="006143D1">
        <w:rPr>
          <w:rFonts w:ascii="Arial" w:hAnsi="Arial" w:cs="Arial"/>
          <w:i/>
          <w:iCs/>
          <w:color w:val="auto"/>
          <w:sz w:val="20"/>
          <w:szCs w:val="20"/>
          <w:lang w:val="en-US"/>
        </w:rPr>
        <w:t>area postrema</w:t>
      </w:r>
      <w:r w:rsidRPr="006143D1">
        <w:rPr>
          <w:rFonts w:ascii="Arial" w:hAnsi="Arial" w:cs="Arial"/>
          <w:b/>
          <w:i/>
          <w:iCs/>
          <w:color w:val="auto"/>
          <w:sz w:val="20"/>
          <w:szCs w:val="20"/>
          <w:lang w:val="en-US"/>
        </w:rPr>
        <w:t xml:space="preserve"> </w:t>
      </w:r>
      <w:r>
        <w:rPr>
          <w:rFonts w:ascii="Arial" w:hAnsi="Arial" w:cs="Arial"/>
          <w:b/>
          <w:i/>
          <w:iCs/>
          <w:color w:val="auto"/>
          <w:sz w:val="20"/>
          <w:szCs w:val="20"/>
          <w:lang w:val="en-US"/>
        </w:rPr>
        <w:br/>
      </w:r>
      <w:r w:rsidRPr="006143D1">
        <w:rPr>
          <w:rFonts w:ascii="Arial" w:hAnsi="Arial" w:cs="Arial"/>
          <w:b/>
          <w:color w:val="auto"/>
          <w:sz w:val="20"/>
          <w:szCs w:val="20"/>
          <w:lang w:val="en-US"/>
        </w:rPr>
        <w:t>APP:</w:t>
      </w:r>
      <w:r w:rsidRPr="006143D1">
        <w:rPr>
          <w:rFonts w:ascii="Arial" w:hAnsi="Arial" w:cs="Arial"/>
          <w:b/>
          <w:color w:val="auto"/>
          <w:sz w:val="20"/>
          <w:szCs w:val="20"/>
          <w:lang w:val="en-US"/>
        </w:rPr>
        <w:tab/>
        <w:t xml:space="preserve"> </w:t>
      </w:r>
      <w:r w:rsidRPr="006143D1">
        <w:rPr>
          <w:rFonts w:ascii="Arial" w:hAnsi="Arial" w:cs="Arial"/>
          <w:b/>
          <w:color w:val="auto"/>
          <w:sz w:val="20"/>
          <w:szCs w:val="20"/>
          <w:lang w:val="en-US"/>
        </w:rPr>
        <w:tab/>
      </w:r>
      <w:r w:rsidRPr="006143D1">
        <w:rPr>
          <w:rFonts w:ascii="Arial" w:hAnsi="Arial" w:cs="Arial"/>
          <w:color w:val="auto"/>
          <w:sz w:val="20"/>
          <w:szCs w:val="20"/>
        </w:rPr>
        <w:t>amiloidni prekursorski protein (</w:t>
      </w:r>
      <w:r w:rsidRPr="006143D1">
        <w:rPr>
          <w:rFonts w:ascii="Arial" w:hAnsi="Arial" w:cs="Arial"/>
          <w:color w:val="auto"/>
          <w:sz w:val="20"/>
          <w:szCs w:val="20"/>
          <w:lang w:val="en-US"/>
        </w:rPr>
        <w:t xml:space="preserve">eng. </w:t>
      </w:r>
      <w:r w:rsidRPr="006143D1">
        <w:rPr>
          <w:rFonts w:ascii="Arial" w:hAnsi="Arial" w:cs="Arial"/>
          <w:i/>
          <w:iCs/>
          <w:color w:val="auto"/>
          <w:sz w:val="20"/>
          <w:szCs w:val="20"/>
          <w:lang w:val="en-US"/>
        </w:rPr>
        <w:t>amyloid precursor protein</w:t>
      </w:r>
      <w:r w:rsidRPr="006143D1">
        <w:rPr>
          <w:rFonts w:ascii="Arial" w:hAnsi="Arial" w:cs="Arial"/>
          <w:iCs/>
          <w:color w:val="auto"/>
          <w:sz w:val="20"/>
          <w:szCs w:val="20"/>
          <w:lang w:val="en-US"/>
        </w:rPr>
        <w:t>)</w:t>
      </w:r>
      <w:r>
        <w:rPr>
          <w:rFonts w:ascii="Arial" w:hAnsi="Arial" w:cs="Arial"/>
          <w:iCs/>
          <w:color w:val="auto"/>
          <w:sz w:val="20"/>
          <w:szCs w:val="20"/>
          <w:lang w:val="en-US"/>
        </w:rPr>
        <w:br/>
      </w:r>
      <w:r w:rsidRPr="006143D1">
        <w:rPr>
          <w:rFonts w:ascii="Arial" w:hAnsi="Arial" w:cs="Arial"/>
          <w:b/>
          <w:color w:val="auto"/>
          <w:sz w:val="20"/>
          <w:szCs w:val="20"/>
          <w:lang w:val="en-US"/>
        </w:rPr>
        <w:t xml:space="preserve">BS: </w:t>
      </w:r>
      <w:r w:rsidRPr="006143D1">
        <w:rPr>
          <w:rFonts w:ascii="Arial" w:hAnsi="Arial" w:cs="Arial"/>
          <w:b/>
          <w:color w:val="auto"/>
          <w:sz w:val="20"/>
          <w:szCs w:val="20"/>
          <w:lang w:val="en-US"/>
        </w:rPr>
        <w:tab/>
      </w:r>
      <w:r w:rsidRPr="006143D1">
        <w:rPr>
          <w:rFonts w:ascii="Arial" w:hAnsi="Arial" w:cs="Arial"/>
          <w:b/>
          <w:color w:val="auto"/>
          <w:sz w:val="20"/>
          <w:szCs w:val="20"/>
          <w:lang w:val="en-US"/>
        </w:rPr>
        <w:tab/>
      </w:r>
      <w:r w:rsidRPr="006143D1">
        <w:rPr>
          <w:rFonts w:ascii="Arial" w:hAnsi="Arial" w:cs="Arial"/>
          <w:color w:val="auto"/>
          <w:sz w:val="20"/>
          <w:szCs w:val="20"/>
          <w:lang w:val="en-US"/>
        </w:rPr>
        <w:t xml:space="preserve">moždano deblo (eng. </w:t>
      </w:r>
      <w:r w:rsidRPr="006143D1">
        <w:rPr>
          <w:rFonts w:ascii="Arial" w:hAnsi="Arial" w:cs="Arial"/>
          <w:i/>
          <w:color w:val="auto"/>
          <w:sz w:val="20"/>
          <w:szCs w:val="20"/>
          <w:lang w:val="en-US"/>
        </w:rPr>
        <w:t>brain stem</w:t>
      </w:r>
      <w:r w:rsidRPr="006143D1">
        <w:rPr>
          <w:rFonts w:ascii="Arial" w:hAnsi="Arial" w:cs="Arial"/>
          <w:color w:val="auto"/>
          <w:sz w:val="20"/>
          <w:szCs w:val="20"/>
          <w:lang w:val="en-US"/>
        </w:rPr>
        <w:t>)</w:t>
      </w:r>
      <w:r w:rsidRPr="006143D1">
        <w:rPr>
          <w:rFonts w:ascii="Arial" w:hAnsi="Arial" w:cs="Arial"/>
          <w:color w:val="auto"/>
          <w:sz w:val="20"/>
          <w:szCs w:val="20"/>
          <w:lang w:val="en-US"/>
        </w:rPr>
        <w:br/>
      </w:r>
      <w:r>
        <w:rPr>
          <w:rFonts w:ascii="Arial" w:hAnsi="Arial" w:cs="Arial"/>
          <w:b/>
          <w:color w:val="auto"/>
          <w:sz w:val="20"/>
          <w:szCs w:val="20"/>
          <w:lang w:val="en-US"/>
        </w:rPr>
        <w:t xml:space="preserve">DAMP: </w:t>
      </w:r>
      <w:r>
        <w:rPr>
          <w:rFonts w:ascii="Arial" w:hAnsi="Arial" w:cs="Arial"/>
          <w:b/>
          <w:color w:val="auto"/>
          <w:sz w:val="20"/>
          <w:szCs w:val="20"/>
          <w:lang w:val="en-US"/>
        </w:rPr>
        <w:tab/>
      </w:r>
      <w:r w:rsidRPr="006143D1">
        <w:rPr>
          <w:rFonts w:ascii="Arial" w:hAnsi="Arial" w:cs="Arial"/>
          <w:color w:val="auto"/>
          <w:sz w:val="20"/>
          <w:szCs w:val="20"/>
          <w:lang w:val="en-US"/>
        </w:rPr>
        <w:t xml:space="preserve">molekularni obrazac povezan s ozljedom (eng. </w:t>
      </w:r>
      <w:r w:rsidRPr="006143D1">
        <w:rPr>
          <w:rFonts w:ascii="Arial" w:hAnsi="Arial" w:cs="Arial"/>
          <w:i/>
          <w:color w:val="auto"/>
          <w:sz w:val="20"/>
          <w:szCs w:val="20"/>
        </w:rPr>
        <w:t xml:space="preserve">damage-associated molecular    </w:t>
      </w:r>
      <w:r w:rsidRPr="006143D1">
        <w:rPr>
          <w:rFonts w:ascii="Arial" w:hAnsi="Arial" w:cs="Arial"/>
          <w:i/>
          <w:color w:val="auto"/>
          <w:sz w:val="20"/>
          <w:szCs w:val="20"/>
        </w:rPr>
        <w:br/>
        <w:t xml:space="preserve">                          pattern</w:t>
      </w:r>
      <w:r w:rsidRPr="006143D1">
        <w:rPr>
          <w:rFonts w:ascii="Arial" w:hAnsi="Arial" w:cs="Arial"/>
          <w:color w:val="auto"/>
          <w:sz w:val="20"/>
          <w:szCs w:val="20"/>
        </w:rPr>
        <w:t>)</w:t>
      </w:r>
      <w:r>
        <w:rPr>
          <w:rFonts w:ascii="Arial" w:hAnsi="Arial" w:cs="Arial"/>
          <w:b/>
          <w:iCs/>
          <w:color w:val="auto"/>
          <w:sz w:val="20"/>
          <w:szCs w:val="20"/>
          <w:lang w:val="en-US"/>
        </w:rPr>
        <w:br/>
      </w:r>
      <w:r w:rsidRPr="006143D1">
        <w:rPr>
          <w:rFonts w:ascii="Arial" w:hAnsi="Arial" w:cs="Arial"/>
          <w:b/>
          <w:color w:val="auto"/>
          <w:sz w:val="20"/>
          <w:szCs w:val="20"/>
          <w:lang w:val="en-US"/>
        </w:rPr>
        <w:t>DVC:</w:t>
      </w:r>
      <w:r w:rsidRPr="006143D1">
        <w:rPr>
          <w:rFonts w:ascii="Arial" w:hAnsi="Arial" w:cs="Arial"/>
          <w:b/>
          <w:color w:val="auto"/>
          <w:sz w:val="20"/>
          <w:szCs w:val="20"/>
          <w:lang w:val="en-US"/>
        </w:rPr>
        <w:tab/>
      </w:r>
      <w:r w:rsidRPr="006143D1">
        <w:rPr>
          <w:rFonts w:ascii="Arial" w:hAnsi="Arial" w:cs="Arial"/>
          <w:b/>
          <w:color w:val="auto"/>
          <w:sz w:val="20"/>
          <w:szCs w:val="20"/>
          <w:lang w:val="en-US"/>
        </w:rPr>
        <w:tab/>
      </w:r>
      <w:r w:rsidRPr="006143D1">
        <w:rPr>
          <w:rFonts w:ascii="Arial" w:hAnsi="Arial" w:cs="Arial"/>
          <w:color w:val="auto"/>
          <w:sz w:val="20"/>
          <w:szCs w:val="20"/>
        </w:rPr>
        <w:t xml:space="preserve">dorzalni vagalni kompleks </w:t>
      </w:r>
      <w:r w:rsidRPr="006143D1">
        <w:rPr>
          <w:rFonts w:ascii="Arial" w:hAnsi="Arial" w:cs="Arial"/>
          <w:color w:val="auto"/>
          <w:sz w:val="20"/>
          <w:szCs w:val="20"/>
          <w:lang w:val="en-US"/>
        </w:rPr>
        <w:t>(</w:t>
      </w:r>
      <w:r w:rsidRPr="006143D1">
        <w:rPr>
          <w:rFonts w:ascii="Arial" w:hAnsi="Arial" w:cs="Arial"/>
          <w:color w:val="auto"/>
          <w:sz w:val="20"/>
          <w:szCs w:val="20"/>
        </w:rPr>
        <w:t xml:space="preserve">eng. </w:t>
      </w:r>
      <w:r w:rsidRPr="006143D1">
        <w:rPr>
          <w:rFonts w:ascii="Arial" w:hAnsi="Arial" w:cs="Arial"/>
          <w:i/>
          <w:color w:val="auto"/>
          <w:sz w:val="20"/>
          <w:szCs w:val="20"/>
        </w:rPr>
        <w:t>dorsal vagal complex</w:t>
      </w:r>
      <w:r w:rsidRPr="006143D1">
        <w:rPr>
          <w:rFonts w:ascii="Arial" w:hAnsi="Arial" w:cs="Arial"/>
          <w:color w:val="auto"/>
          <w:sz w:val="20"/>
          <w:szCs w:val="20"/>
        </w:rPr>
        <w:t>)</w:t>
      </w:r>
      <w:r w:rsidRPr="006143D1">
        <w:rPr>
          <w:rFonts w:ascii="Arial" w:hAnsi="Arial" w:cs="Arial"/>
          <w:color w:val="auto"/>
          <w:sz w:val="20"/>
          <w:szCs w:val="20"/>
        </w:rPr>
        <w:br/>
      </w:r>
      <w:r w:rsidRPr="006143D1">
        <w:rPr>
          <w:rFonts w:ascii="Arial" w:hAnsi="Arial" w:cs="Arial"/>
          <w:b/>
          <w:color w:val="auto"/>
          <w:sz w:val="20"/>
          <w:szCs w:val="20"/>
          <w:lang w:val="en-US"/>
        </w:rPr>
        <w:t>ERK:</w:t>
      </w:r>
      <w:r w:rsidRPr="006143D1">
        <w:rPr>
          <w:rFonts w:ascii="Arial" w:hAnsi="Arial" w:cs="Arial"/>
          <w:b/>
          <w:color w:val="auto"/>
          <w:sz w:val="20"/>
          <w:szCs w:val="20"/>
          <w:lang w:val="en-US"/>
        </w:rPr>
        <w:tab/>
      </w:r>
      <w:r w:rsidRPr="006143D1">
        <w:rPr>
          <w:rFonts w:ascii="Arial" w:hAnsi="Arial" w:cs="Arial"/>
          <w:b/>
          <w:color w:val="auto"/>
          <w:sz w:val="20"/>
          <w:szCs w:val="20"/>
          <w:lang w:val="en-US"/>
        </w:rPr>
        <w:tab/>
      </w:r>
      <w:r w:rsidRPr="006143D1">
        <w:rPr>
          <w:rFonts w:ascii="Arial" w:hAnsi="Arial" w:cs="Arial"/>
          <w:bCs/>
          <w:color w:val="auto"/>
          <w:sz w:val="20"/>
          <w:szCs w:val="20"/>
        </w:rPr>
        <w:t xml:space="preserve">kinaza pod kontrolom izvanstaničnih signala </w:t>
      </w:r>
      <w:r w:rsidRPr="006143D1">
        <w:rPr>
          <w:rFonts w:ascii="Arial" w:hAnsi="Arial" w:cs="Arial"/>
          <w:color w:val="auto"/>
          <w:sz w:val="20"/>
          <w:szCs w:val="20"/>
          <w:lang w:val="en-US"/>
        </w:rPr>
        <w:t xml:space="preserve">(eng. </w:t>
      </w:r>
      <w:r w:rsidRPr="006143D1">
        <w:rPr>
          <w:rFonts w:ascii="Arial" w:hAnsi="Arial" w:cs="Arial"/>
          <w:bCs/>
          <w:i/>
          <w:color w:val="auto"/>
          <w:sz w:val="20"/>
          <w:szCs w:val="20"/>
        </w:rPr>
        <w:t xml:space="preserve">extracellular signal–regulated </w:t>
      </w:r>
      <w:r>
        <w:rPr>
          <w:rFonts w:ascii="Arial" w:hAnsi="Arial" w:cs="Arial"/>
          <w:bCs/>
          <w:i/>
          <w:color w:val="auto"/>
          <w:sz w:val="20"/>
          <w:szCs w:val="20"/>
        </w:rPr>
        <w:br/>
        <w:t xml:space="preserve">                         </w:t>
      </w:r>
      <w:r w:rsidRPr="006143D1">
        <w:rPr>
          <w:rFonts w:ascii="Arial" w:hAnsi="Arial" w:cs="Arial"/>
          <w:bCs/>
          <w:i/>
          <w:color w:val="auto"/>
          <w:sz w:val="20"/>
          <w:szCs w:val="20"/>
        </w:rPr>
        <w:t>kinases</w:t>
      </w:r>
      <w:r w:rsidRPr="006143D1">
        <w:rPr>
          <w:rFonts w:ascii="Arial" w:hAnsi="Arial" w:cs="Arial"/>
          <w:bCs/>
          <w:color w:val="auto"/>
          <w:sz w:val="20"/>
          <w:szCs w:val="20"/>
        </w:rPr>
        <w:t>)</w:t>
      </w:r>
      <w:r>
        <w:rPr>
          <w:rFonts w:ascii="Arial" w:hAnsi="Arial" w:cs="Arial"/>
          <w:b/>
          <w:iCs/>
          <w:color w:val="auto"/>
          <w:sz w:val="20"/>
          <w:szCs w:val="20"/>
          <w:lang w:val="en-US"/>
        </w:rPr>
        <w:br/>
      </w:r>
      <w:r>
        <w:rPr>
          <w:rFonts w:ascii="Arial" w:hAnsi="Arial" w:cs="Arial"/>
          <w:b/>
          <w:color w:val="auto"/>
          <w:sz w:val="20"/>
          <w:szCs w:val="20"/>
        </w:rPr>
        <w:t>GFAP:</w:t>
      </w:r>
      <w:r>
        <w:rPr>
          <w:rFonts w:ascii="Arial" w:hAnsi="Arial" w:cs="Arial"/>
          <w:b/>
          <w:color w:val="auto"/>
          <w:sz w:val="20"/>
          <w:szCs w:val="20"/>
        </w:rPr>
        <w:tab/>
      </w:r>
      <w:r>
        <w:rPr>
          <w:rFonts w:ascii="Arial" w:hAnsi="Arial" w:cs="Arial"/>
          <w:b/>
          <w:color w:val="auto"/>
          <w:sz w:val="20"/>
          <w:szCs w:val="20"/>
        </w:rPr>
        <w:tab/>
      </w:r>
      <w:r w:rsidRPr="006143D1">
        <w:rPr>
          <w:rFonts w:ascii="Arial" w:hAnsi="Arial" w:cs="Arial"/>
          <w:color w:val="auto"/>
          <w:sz w:val="20"/>
          <w:szCs w:val="20"/>
        </w:rPr>
        <w:t xml:space="preserve">kiseli vlaknasti protein glije (eng. </w:t>
      </w:r>
      <w:r w:rsidRPr="006143D1">
        <w:rPr>
          <w:rFonts w:ascii="Arial" w:hAnsi="Arial" w:cs="Arial"/>
          <w:i/>
          <w:color w:val="auto"/>
          <w:sz w:val="20"/>
          <w:szCs w:val="20"/>
        </w:rPr>
        <w:t>glial fibrillary acidic protein</w:t>
      </w:r>
      <w:r w:rsidRPr="006143D1">
        <w:rPr>
          <w:rFonts w:ascii="Arial" w:hAnsi="Arial" w:cs="Arial"/>
          <w:color w:val="auto"/>
          <w:sz w:val="20"/>
          <w:szCs w:val="20"/>
        </w:rPr>
        <w:t>)</w:t>
      </w:r>
      <w:r>
        <w:rPr>
          <w:rFonts w:ascii="Arial" w:hAnsi="Arial" w:cs="Arial"/>
          <w:b/>
          <w:iCs/>
          <w:color w:val="auto"/>
          <w:sz w:val="20"/>
          <w:szCs w:val="20"/>
          <w:lang w:val="en-US"/>
        </w:rPr>
        <w:br/>
      </w:r>
      <w:r>
        <w:rPr>
          <w:rFonts w:ascii="Arial" w:hAnsi="Arial" w:cs="Arial"/>
          <w:b/>
          <w:color w:val="auto"/>
          <w:sz w:val="20"/>
          <w:szCs w:val="20"/>
        </w:rPr>
        <w:t>GLUT3:</w:t>
      </w:r>
      <w:r>
        <w:rPr>
          <w:rFonts w:ascii="Arial" w:hAnsi="Arial" w:cs="Arial"/>
          <w:b/>
          <w:color w:val="auto"/>
          <w:sz w:val="20"/>
          <w:szCs w:val="20"/>
        </w:rPr>
        <w:tab/>
      </w:r>
      <w:r w:rsidRPr="006143D1">
        <w:rPr>
          <w:rFonts w:ascii="Arial" w:hAnsi="Arial" w:cs="Arial"/>
          <w:color w:val="auto"/>
          <w:sz w:val="20"/>
          <w:szCs w:val="20"/>
        </w:rPr>
        <w:t xml:space="preserve">transporter za glukozu 3 (eng. </w:t>
      </w:r>
      <w:r w:rsidRPr="006143D1">
        <w:rPr>
          <w:rFonts w:ascii="Arial" w:hAnsi="Arial" w:cs="Arial"/>
          <w:i/>
          <w:color w:val="auto"/>
          <w:sz w:val="20"/>
          <w:szCs w:val="20"/>
        </w:rPr>
        <w:t>glucose transporter 3</w:t>
      </w:r>
      <w:r w:rsidRPr="006143D1">
        <w:rPr>
          <w:rFonts w:ascii="Arial" w:hAnsi="Arial" w:cs="Arial"/>
          <w:color w:val="auto"/>
          <w:sz w:val="20"/>
          <w:szCs w:val="20"/>
        </w:rPr>
        <w:t>)</w:t>
      </w:r>
      <w:r>
        <w:rPr>
          <w:rFonts w:ascii="Arial" w:hAnsi="Arial" w:cs="Arial"/>
          <w:iCs/>
          <w:color w:val="auto"/>
          <w:sz w:val="20"/>
          <w:szCs w:val="20"/>
          <w:lang w:val="en-US"/>
        </w:rPr>
        <w:br/>
      </w:r>
      <w:r>
        <w:rPr>
          <w:rFonts w:ascii="Arial" w:hAnsi="Arial" w:cs="Arial"/>
          <w:b/>
          <w:color w:val="auto"/>
          <w:sz w:val="20"/>
          <w:szCs w:val="20"/>
        </w:rPr>
        <w:t>GLUT4:</w:t>
      </w:r>
      <w:r>
        <w:rPr>
          <w:rFonts w:ascii="Arial" w:hAnsi="Arial" w:cs="Arial"/>
          <w:b/>
          <w:color w:val="auto"/>
          <w:sz w:val="20"/>
          <w:szCs w:val="20"/>
        </w:rPr>
        <w:tab/>
      </w:r>
      <w:r w:rsidRPr="006143D1">
        <w:rPr>
          <w:rFonts w:ascii="Arial" w:hAnsi="Arial" w:cs="Arial"/>
          <w:color w:val="auto"/>
          <w:sz w:val="20"/>
          <w:szCs w:val="20"/>
        </w:rPr>
        <w:t xml:space="preserve">transporter za glukozu 4 (eng. </w:t>
      </w:r>
      <w:r w:rsidRPr="006143D1">
        <w:rPr>
          <w:rFonts w:ascii="Arial" w:hAnsi="Arial" w:cs="Arial"/>
          <w:i/>
          <w:color w:val="auto"/>
          <w:sz w:val="20"/>
          <w:szCs w:val="20"/>
        </w:rPr>
        <w:t>glucose transporter 4</w:t>
      </w:r>
      <w:r w:rsidRPr="006143D1">
        <w:rPr>
          <w:rFonts w:ascii="Arial" w:hAnsi="Arial" w:cs="Arial"/>
          <w:color w:val="auto"/>
          <w:sz w:val="20"/>
          <w:szCs w:val="20"/>
        </w:rPr>
        <w:t>)</w:t>
      </w:r>
      <w:r>
        <w:rPr>
          <w:rFonts w:ascii="Arial" w:hAnsi="Arial" w:cs="Arial"/>
          <w:b/>
          <w:color w:val="auto"/>
          <w:sz w:val="20"/>
          <w:szCs w:val="20"/>
        </w:rPr>
        <w:br/>
      </w:r>
      <w:r w:rsidRPr="006143D1">
        <w:rPr>
          <w:rFonts w:ascii="Arial" w:hAnsi="Arial" w:cs="Arial"/>
          <w:b/>
          <w:color w:val="auto"/>
          <w:sz w:val="20"/>
          <w:szCs w:val="20"/>
          <w:lang w:val="en-US"/>
        </w:rPr>
        <w:t>IRBS :</w:t>
      </w:r>
      <w:r w:rsidRPr="006143D1">
        <w:rPr>
          <w:rFonts w:ascii="Arial" w:hAnsi="Arial" w:cs="Arial"/>
          <w:b/>
          <w:color w:val="auto"/>
          <w:sz w:val="20"/>
          <w:szCs w:val="20"/>
          <w:lang w:val="en-US"/>
        </w:rPr>
        <w:tab/>
        <w:t xml:space="preserve"> </w:t>
      </w:r>
      <w:r w:rsidRPr="006143D1">
        <w:rPr>
          <w:rFonts w:ascii="Arial" w:hAnsi="Arial" w:cs="Arial"/>
          <w:b/>
          <w:color w:val="auto"/>
          <w:sz w:val="20"/>
          <w:szCs w:val="20"/>
          <w:lang w:val="en-US"/>
        </w:rPr>
        <w:tab/>
      </w:r>
      <w:r w:rsidRPr="006143D1">
        <w:rPr>
          <w:rFonts w:ascii="Arial" w:hAnsi="Arial" w:cs="Arial"/>
          <w:color w:val="auto"/>
          <w:sz w:val="20"/>
          <w:szCs w:val="20"/>
          <w:lang w:val="en-US"/>
        </w:rPr>
        <w:t xml:space="preserve">inzulinska rezistencija u mozgu (eng. </w:t>
      </w:r>
      <w:r w:rsidRPr="006143D1">
        <w:rPr>
          <w:rFonts w:ascii="Arial" w:hAnsi="Arial" w:cs="Arial"/>
          <w:i/>
          <w:color w:val="auto"/>
          <w:sz w:val="20"/>
          <w:szCs w:val="20"/>
          <w:lang w:val="en-US"/>
        </w:rPr>
        <w:t>insulin resistant brain state</w:t>
      </w:r>
      <w:r w:rsidRPr="006143D1">
        <w:rPr>
          <w:rFonts w:ascii="Arial" w:hAnsi="Arial" w:cs="Arial"/>
          <w:color w:val="auto"/>
          <w:sz w:val="20"/>
          <w:szCs w:val="20"/>
          <w:lang w:val="en-US"/>
        </w:rPr>
        <w:t>)</w:t>
      </w:r>
      <w:r w:rsidRPr="006143D1">
        <w:rPr>
          <w:rFonts w:ascii="Arial" w:hAnsi="Arial" w:cs="Arial"/>
          <w:color w:val="auto"/>
          <w:sz w:val="20"/>
          <w:szCs w:val="20"/>
        </w:rPr>
        <w:br/>
      </w:r>
      <w:r w:rsidRPr="006143D1">
        <w:rPr>
          <w:rFonts w:ascii="Arial" w:hAnsi="Arial" w:cs="Arial"/>
          <w:b/>
          <w:color w:val="auto"/>
          <w:sz w:val="20"/>
          <w:szCs w:val="20"/>
          <w:lang w:val="en-US"/>
        </w:rPr>
        <w:t>IR:</w:t>
      </w:r>
      <w:r w:rsidRPr="006143D1">
        <w:rPr>
          <w:rFonts w:ascii="Arial" w:hAnsi="Arial" w:cs="Arial"/>
          <w:b/>
          <w:color w:val="auto"/>
          <w:sz w:val="20"/>
          <w:szCs w:val="20"/>
          <w:lang w:val="en-US"/>
        </w:rPr>
        <w:tab/>
      </w:r>
      <w:r w:rsidRPr="006143D1">
        <w:rPr>
          <w:rFonts w:ascii="Arial" w:hAnsi="Arial" w:cs="Arial"/>
          <w:b/>
          <w:color w:val="auto"/>
          <w:sz w:val="20"/>
          <w:szCs w:val="20"/>
          <w:lang w:val="en-US"/>
        </w:rPr>
        <w:tab/>
      </w:r>
      <w:r w:rsidRPr="006143D1">
        <w:rPr>
          <w:rFonts w:ascii="Arial" w:hAnsi="Arial" w:cs="Arial"/>
          <w:color w:val="auto"/>
          <w:sz w:val="20"/>
          <w:szCs w:val="20"/>
          <w:lang w:val="en-US"/>
        </w:rPr>
        <w:t>inzulinski receptor (eng</w:t>
      </w:r>
      <w:r w:rsidRPr="006143D1">
        <w:rPr>
          <w:rFonts w:ascii="Arial" w:hAnsi="Arial" w:cs="Arial"/>
          <w:iCs/>
          <w:color w:val="auto"/>
          <w:sz w:val="20"/>
          <w:szCs w:val="20"/>
          <w:lang w:val="en-US"/>
        </w:rPr>
        <w:t>.</w:t>
      </w:r>
      <w:r w:rsidRPr="006143D1">
        <w:rPr>
          <w:rFonts w:ascii="Arial" w:hAnsi="Arial" w:cs="Arial"/>
          <w:i/>
          <w:iCs/>
          <w:color w:val="auto"/>
          <w:sz w:val="20"/>
          <w:szCs w:val="20"/>
          <w:lang w:val="en-US"/>
        </w:rPr>
        <w:t xml:space="preserve"> insulin receptor</w:t>
      </w:r>
      <w:r w:rsidRPr="006143D1">
        <w:rPr>
          <w:rFonts w:ascii="Arial" w:hAnsi="Arial" w:cs="Arial"/>
          <w:iCs/>
          <w:color w:val="auto"/>
          <w:sz w:val="20"/>
          <w:szCs w:val="20"/>
          <w:lang w:val="en-US"/>
        </w:rPr>
        <w:t>)</w:t>
      </w:r>
      <w:r>
        <w:rPr>
          <w:rFonts w:ascii="Arial" w:hAnsi="Arial" w:cs="Arial"/>
          <w:iCs/>
          <w:color w:val="auto"/>
          <w:sz w:val="20"/>
          <w:szCs w:val="20"/>
          <w:lang w:val="en-US"/>
        </w:rPr>
        <w:br/>
      </w:r>
      <w:r w:rsidRPr="006143D1">
        <w:rPr>
          <w:rFonts w:ascii="Arial" w:hAnsi="Arial" w:cs="Arial"/>
          <w:b/>
          <w:color w:val="auto"/>
          <w:sz w:val="20"/>
          <w:szCs w:val="20"/>
        </w:rPr>
        <w:t>IRS1</w:t>
      </w:r>
      <w:r w:rsidRPr="006143D1">
        <w:rPr>
          <w:rFonts w:ascii="Arial" w:hAnsi="Arial" w:cs="Arial"/>
          <w:b/>
          <w:color w:val="auto"/>
          <w:sz w:val="20"/>
          <w:szCs w:val="20"/>
        </w:rPr>
        <w:tab/>
      </w:r>
      <w:r w:rsidRPr="006143D1">
        <w:rPr>
          <w:rFonts w:ascii="Arial" w:hAnsi="Arial" w:cs="Arial"/>
          <w:b/>
          <w:color w:val="auto"/>
          <w:sz w:val="20"/>
          <w:szCs w:val="20"/>
        </w:rPr>
        <w:tab/>
      </w:r>
      <w:r w:rsidRPr="006143D1">
        <w:rPr>
          <w:rFonts w:ascii="Arial" w:hAnsi="Arial" w:cs="Arial"/>
          <w:color w:val="auto"/>
          <w:sz w:val="20"/>
          <w:szCs w:val="20"/>
        </w:rPr>
        <w:t xml:space="preserve">supstrat 1 inzulinskog receptora (eng. </w:t>
      </w:r>
      <w:r w:rsidRPr="006143D1">
        <w:rPr>
          <w:rFonts w:ascii="Arial" w:hAnsi="Arial" w:cs="Arial"/>
          <w:i/>
          <w:color w:val="auto"/>
          <w:sz w:val="20"/>
          <w:szCs w:val="20"/>
        </w:rPr>
        <w:t>insulin receptor substrate 1</w:t>
      </w:r>
      <w:r w:rsidRPr="006143D1">
        <w:rPr>
          <w:rFonts w:ascii="Arial" w:hAnsi="Arial" w:cs="Arial"/>
          <w:color w:val="auto"/>
          <w:sz w:val="20"/>
          <w:szCs w:val="20"/>
        </w:rPr>
        <w:t>)</w:t>
      </w:r>
      <w:r>
        <w:rPr>
          <w:rFonts w:ascii="Arial" w:hAnsi="Arial" w:cs="Arial"/>
          <w:iCs/>
          <w:color w:val="auto"/>
          <w:sz w:val="20"/>
          <w:szCs w:val="20"/>
          <w:lang w:val="en-US"/>
        </w:rPr>
        <w:br/>
      </w:r>
      <w:r w:rsidRPr="006143D1">
        <w:rPr>
          <w:rFonts w:ascii="Arial" w:hAnsi="Arial" w:cs="Arial"/>
          <w:b/>
          <w:color w:val="auto"/>
          <w:sz w:val="20"/>
          <w:szCs w:val="20"/>
          <w:lang w:val="en-US"/>
        </w:rPr>
        <w:t>NBM</w:t>
      </w:r>
      <w:r w:rsidRPr="006143D1">
        <w:rPr>
          <w:rFonts w:ascii="Arial" w:hAnsi="Arial" w:cs="Arial"/>
          <w:b/>
          <w:color w:val="auto"/>
          <w:sz w:val="20"/>
          <w:szCs w:val="20"/>
          <w:lang w:val="en-US"/>
        </w:rPr>
        <w:tab/>
      </w:r>
      <w:r w:rsidRPr="006143D1">
        <w:rPr>
          <w:rFonts w:ascii="Arial" w:hAnsi="Arial" w:cs="Arial"/>
          <w:b/>
          <w:color w:val="auto"/>
          <w:sz w:val="20"/>
          <w:szCs w:val="20"/>
          <w:lang w:val="en-US"/>
        </w:rPr>
        <w:tab/>
      </w:r>
      <w:r w:rsidRPr="006143D1">
        <w:rPr>
          <w:rFonts w:ascii="Arial" w:hAnsi="Arial" w:cs="Arial"/>
          <w:i/>
          <w:color w:val="auto"/>
          <w:sz w:val="20"/>
          <w:szCs w:val="20"/>
          <w:lang w:val="en-US"/>
        </w:rPr>
        <w:t>nucleus basalis Meynert</w:t>
      </w:r>
      <w:r>
        <w:rPr>
          <w:rFonts w:ascii="Arial" w:hAnsi="Arial" w:cs="Arial"/>
          <w:iCs/>
          <w:color w:val="auto"/>
          <w:sz w:val="20"/>
          <w:szCs w:val="20"/>
          <w:lang w:val="en-US"/>
        </w:rPr>
        <w:br/>
      </w:r>
      <w:r>
        <w:rPr>
          <w:rFonts w:ascii="Arial" w:hAnsi="Arial" w:cs="Arial"/>
          <w:b/>
          <w:i/>
          <w:color w:val="auto"/>
          <w:sz w:val="20"/>
          <w:szCs w:val="20"/>
          <w:lang w:val="en-US"/>
        </w:rPr>
        <w:t>P70S6K:</w:t>
      </w:r>
      <w:r>
        <w:rPr>
          <w:rFonts w:ascii="Arial" w:hAnsi="Arial" w:cs="Arial"/>
          <w:b/>
          <w:i/>
          <w:color w:val="auto"/>
          <w:sz w:val="20"/>
          <w:szCs w:val="20"/>
          <w:lang w:val="en-US"/>
        </w:rPr>
        <w:tab/>
      </w:r>
      <w:r w:rsidRPr="006143D1">
        <w:rPr>
          <w:rFonts w:ascii="Arial" w:hAnsi="Arial" w:cs="Arial"/>
          <w:color w:val="auto"/>
          <w:sz w:val="20"/>
          <w:szCs w:val="20"/>
          <w:lang w:val="en-US"/>
        </w:rPr>
        <w:t>beta 1 kinaza ribosomalnog proteina S6 (eng.</w:t>
      </w:r>
      <w:r w:rsidRPr="006143D1">
        <w:rPr>
          <w:rFonts w:ascii="Arial" w:hAnsi="Arial" w:cs="Arial"/>
          <w:i/>
          <w:color w:val="auto"/>
          <w:sz w:val="20"/>
          <w:szCs w:val="20"/>
          <w:lang w:val="en-US"/>
        </w:rPr>
        <w:t xml:space="preserve"> </w:t>
      </w:r>
      <w:r>
        <w:rPr>
          <w:rFonts w:ascii="Arial" w:hAnsi="Arial" w:cs="Arial"/>
          <w:bCs/>
          <w:i/>
          <w:color w:val="auto"/>
          <w:sz w:val="20"/>
          <w:szCs w:val="20"/>
        </w:rPr>
        <w:t>r</w:t>
      </w:r>
      <w:r w:rsidRPr="006143D1">
        <w:rPr>
          <w:rFonts w:ascii="Arial" w:hAnsi="Arial" w:cs="Arial"/>
          <w:bCs/>
          <w:i/>
          <w:color w:val="auto"/>
          <w:sz w:val="20"/>
          <w:szCs w:val="20"/>
        </w:rPr>
        <w:t>ibosomal protein S6 kinase beta-1</w:t>
      </w:r>
      <w:r w:rsidRPr="006143D1">
        <w:rPr>
          <w:rFonts w:ascii="Arial" w:hAnsi="Arial" w:cs="Arial"/>
          <w:bCs/>
          <w:color w:val="auto"/>
          <w:sz w:val="20"/>
          <w:szCs w:val="20"/>
        </w:rPr>
        <w:t>)</w:t>
      </w:r>
      <w:r>
        <w:rPr>
          <w:rFonts w:ascii="Arial" w:hAnsi="Arial" w:cs="Arial"/>
          <w:iCs/>
          <w:color w:val="auto"/>
          <w:sz w:val="20"/>
          <w:szCs w:val="20"/>
          <w:lang w:val="en-US"/>
        </w:rPr>
        <w:br/>
      </w:r>
      <w:r w:rsidRPr="006143D1">
        <w:rPr>
          <w:rFonts w:ascii="Arial" w:hAnsi="Arial" w:cs="Arial"/>
          <w:b/>
          <w:i/>
          <w:color w:val="auto"/>
          <w:sz w:val="20"/>
          <w:szCs w:val="20"/>
          <w:lang w:val="en-US"/>
        </w:rPr>
        <w:t xml:space="preserve">PAMP: </w:t>
      </w:r>
      <w:r w:rsidRPr="006143D1">
        <w:rPr>
          <w:rFonts w:ascii="Arial" w:hAnsi="Arial" w:cs="Arial"/>
          <w:b/>
          <w:i/>
          <w:color w:val="auto"/>
          <w:sz w:val="20"/>
          <w:szCs w:val="20"/>
          <w:lang w:val="en-US"/>
        </w:rPr>
        <w:tab/>
      </w:r>
      <w:r w:rsidRPr="006143D1">
        <w:rPr>
          <w:rFonts w:ascii="Arial" w:hAnsi="Arial" w:cs="Arial"/>
          <w:b/>
          <w:i/>
          <w:color w:val="auto"/>
          <w:sz w:val="20"/>
          <w:szCs w:val="20"/>
          <w:lang w:val="en-US"/>
        </w:rPr>
        <w:tab/>
      </w:r>
      <w:r w:rsidRPr="006143D1">
        <w:rPr>
          <w:rFonts w:ascii="Arial" w:hAnsi="Arial" w:cs="Arial"/>
          <w:color w:val="auto"/>
          <w:sz w:val="20"/>
          <w:szCs w:val="20"/>
          <w:lang w:val="en-US"/>
        </w:rPr>
        <w:t>molekularni obrazac povezan s patogenima (eng.</w:t>
      </w:r>
      <w:r w:rsidRPr="006143D1">
        <w:rPr>
          <w:rFonts w:ascii="Arial" w:hAnsi="Arial" w:cs="Arial"/>
          <w:color w:val="auto"/>
          <w:sz w:val="20"/>
          <w:szCs w:val="20"/>
        </w:rPr>
        <w:t xml:space="preserve"> </w:t>
      </w:r>
      <w:r w:rsidRPr="006143D1">
        <w:rPr>
          <w:rFonts w:ascii="Arial" w:hAnsi="Arial" w:cs="Arial"/>
          <w:i/>
          <w:color w:val="auto"/>
          <w:sz w:val="20"/>
          <w:szCs w:val="20"/>
        </w:rPr>
        <w:t xml:space="preserve">pathogen-associated molecular </w:t>
      </w:r>
      <w:r>
        <w:rPr>
          <w:rFonts w:ascii="Arial" w:hAnsi="Arial" w:cs="Arial"/>
          <w:i/>
          <w:color w:val="auto"/>
          <w:sz w:val="20"/>
          <w:szCs w:val="20"/>
        </w:rPr>
        <w:br/>
        <w:t xml:space="preserve">                          </w:t>
      </w:r>
      <w:r w:rsidRPr="006143D1">
        <w:rPr>
          <w:rFonts w:ascii="Arial" w:hAnsi="Arial" w:cs="Arial"/>
          <w:i/>
          <w:color w:val="auto"/>
          <w:sz w:val="20"/>
          <w:szCs w:val="20"/>
        </w:rPr>
        <w:t>pattern</w:t>
      </w:r>
      <w:r w:rsidRPr="006143D1">
        <w:rPr>
          <w:rFonts w:ascii="Arial" w:hAnsi="Arial" w:cs="Arial"/>
          <w:color w:val="auto"/>
          <w:sz w:val="20"/>
          <w:szCs w:val="20"/>
        </w:rPr>
        <w:t>)</w:t>
      </w:r>
      <w:r>
        <w:rPr>
          <w:rFonts w:ascii="Arial" w:hAnsi="Arial" w:cs="Arial"/>
          <w:i/>
          <w:iCs/>
          <w:color w:val="auto"/>
          <w:sz w:val="20"/>
          <w:szCs w:val="20"/>
          <w:lang w:val="en-US"/>
        </w:rPr>
        <w:br/>
      </w:r>
      <w:r w:rsidRPr="006143D1">
        <w:rPr>
          <w:rFonts w:ascii="Arial" w:hAnsi="Arial" w:cs="Arial"/>
          <w:b/>
          <w:color w:val="auto"/>
          <w:sz w:val="20"/>
          <w:szCs w:val="20"/>
          <w:lang w:val="en-US"/>
        </w:rPr>
        <w:t>PHF:</w:t>
      </w:r>
      <w:r w:rsidRPr="006143D1">
        <w:rPr>
          <w:rFonts w:ascii="Arial" w:hAnsi="Arial" w:cs="Arial"/>
          <w:b/>
          <w:color w:val="auto"/>
          <w:sz w:val="20"/>
          <w:szCs w:val="20"/>
          <w:lang w:val="en-US"/>
        </w:rPr>
        <w:tab/>
        <w:t xml:space="preserve"> </w:t>
      </w:r>
      <w:r w:rsidRPr="006143D1">
        <w:rPr>
          <w:rFonts w:ascii="Arial" w:hAnsi="Arial" w:cs="Arial"/>
          <w:b/>
          <w:color w:val="auto"/>
          <w:sz w:val="20"/>
          <w:szCs w:val="20"/>
          <w:lang w:val="en-US"/>
        </w:rPr>
        <w:tab/>
      </w:r>
      <w:r w:rsidRPr="006143D1">
        <w:rPr>
          <w:rFonts w:ascii="Arial" w:hAnsi="Arial" w:cs="Arial"/>
          <w:color w:val="auto"/>
          <w:sz w:val="20"/>
          <w:szCs w:val="20"/>
        </w:rPr>
        <w:t>filamenti spareni u dvostruku uzvojnicu</w:t>
      </w:r>
      <w:r w:rsidRPr="006143D1">
        <w:rPr>
          <w:rFonts w:ascii="Arial" w:hAnsi="Arial" w:cs="Arial"/>
          <w:color w:val="auto"/>
          <w:sz w:val="20"/>
          <w:szCs w:val="20"/>
          <w:lang w:val="en-US"/>
        </w:rPr>
        <w:t xml:space="preserve"> (eng. </w:t>
      </w:r>
      <w:r w:rsidRPr="006143D1">
        <w:rPr>
          <w:rFonts w:ascii="Arial" w:hAnsi="Arial" w:cs="Arial"/>
          <w:i/>
          <w:iCs/>
          <w:color w:val="auto"/>
          <w:sz w:val="20"/>
          <w:szCs w:val="20"/>
          <w:lang w:val="en-US"/>
        </w:rPr>
        <w:t>paired helical filament</w:t>
      </w:r>
      <w:r w:rsidRPr="006143D1">
        <w:rPr>
          <w:rFonts w:ascii="Arial" w:hAnsi="Arial" w:cs="Arial"/>
          <w:iCs/>
          <w:color w:val="auto"/>
          <w:sz w:val="20"/>
          <w:szCs w:val="20"/>
          <w:lang w:val="en-US"/>
        </w:rPr>
        <w:t>)</w:t>
      </w:r>
      <w:r>
        <w:rPr>
          <w:rFonts w:ascii="Arial" w:hAnsi="Arial" w:cs="Arial"/>
          <w:i/>
          <w:iCs/>
          <w:color w:val="auto"/>
          <w:sz w:val="20"/>
          <w:szCs w:val="20"/>
          <w:lang w:val="en-US"/>
        </w:rPr>
        <w:br/>
      </w:r>
      <w:r w:rsidRPr="006143D1">
        <w:rPr>
          <w:rFonts w:ascii="Arial" w:hAnsi="Arial" w:cs="Arial"/>
          <w:b/>
          <w:color w:val="auto"/>
          <w:sz w:val="20"/>
          <w:szCs w:val="20"/>
          <w:lang w:val="en-US"/>
        </w:rPr>
        <w:t>STZ:</w:t>
      </w:r>
      <w:r w:rsidRPr="006143D1">
        <w:rPr>
          <w:rFonts w:ascii="Arial" w:hAnsi="Arial" w:cs="Arial"/>
          <w:b/>
          <w:color w:val="auto"/>
          <w:sz w:val="20"/>
          <w:szCs w:val="20"/>
          <w:lang w:val="en-US"/>
        </w:rPr>
        <w:tab/>
      </w:r>
      <w:r w:rsidRPr="006143D1">
        <w:rPr>
          <w:rFonts w:ascii="Arial" w:hAnsi="Arial" w:cs="Arial"/>
          <w:b/>
          <w:color w:val="auto"/>
          <w:sz w:val="20"/>
          <w:szCs w:val="20"/>
          <w:lang w:val="en-US"/>
        </w:rPr>
        <w:tab/>
      </w:r>
      <w:r w:rsidRPr="006143D1">
        <w:rPr>
          <w:rFonts w:ascii="Arial" w:hAnsi="Arial" w:cs="Arial"/>
          <w:color w:val="auto"/>
          <w:sz w:val="20"/>
          <w:szCs w:val="20"/>
        </w:rPr>
        <w:t xml:space="preserve">streptozotocin </w:t>
      </w:r>
      <w:r w:rsidRPr="006143D1">
        <w:rPr>
          <w:rFonts w:ascii="Arial" w:hAnsi="Arial" w:cs="Arial"/>
          <w:i/>
          <w:iCs/>
          <w:color w:val="auto"/>
          <w:sz w:val="20"/>
          <w:szCs w:val="20"/>
          <w:lang w:val="en-US"/>
        </w:rPr>
        <w:br/>
      </w:r>
      <w:r w:rsidRPr="006143D1">
        <w:rPr>
          <w:rFonts w:ascii="Arial" w:hAnsi="Arial" w:cs="Arial"/>
          <w:b/>
          <w:color w:val="auto"/>
          <w:sz w:val="20"/>
          <w:szCs w:val="20"/>
        </w:rPr>
        <w:t>STZ-icv:</w:t>
      </w:r>
      <w:r w:rsidRPr="006143D1">
        <w:rPr>
          <w:rFonts w:ascii="Arial" w:hAnsi="Arial" w:cs="Arial"/>
          <w:b/>
          <w:color w:val="auto"/>
          <w:sz w:val="20"/>
          <w:szCs w:val="20"/>
        </w:rPr>
        <w:tab/>
      </w:r>
      <w:r w:rsidRPr="006143D1">
        <w:rPr>
          <w:rFonts w:ascii="Arial" w:hAnsi="Arial" w:cs="Arial"/>
          <w:color w:val="auto"/>
          <w:sz w:val="20"/>
          <w:szCs w:val="20"/>
        </w:rPr>
        <w:t>intracerebroventrikularna administriracija streptozotocina</w:t>
      </w:r>
    </w:p>
    <w:p w14:paraId="2DB3EB2F" w14:textId="2A240910" w:rsidR="004103E8" w:rsidRPr="006143D1" w:rsidRDefault="006143D1" w:rsidP="006143D1">
      <w:pPr>
        <w:pStyle w:val="Heading1"/>
        <w:rPr>
          <w:rFonts w:ascii="Arial" w:hAnsi="Arial" w:cs="Arial"/>
          <w:color w:val="auto"/>
          <w:sz w:val="20"/>
          <w:szCs w:val="20"/>
        </w:rPr>
        <w:sectPr w:rsidR="004103E8" w:rsidRPr="006143D1" w:rsidSect="00E50C2E">
          <w:pgSz w:w="11906" w:h="16838"/>
          <w:pgMar w:top="1417" w:right="1417" w:bottom="1417" w:left="1417" w:header="708" w:footer="708" w:gutter="0"/>
          <w:pgNumType w:start="0"/>
          <w:cols w:space="708"/>
          <w:docGrid w:linePitch="360"/>
        </w:sectPr>
      </w:pPr>
      <w:r w:rsidRPr="006143D1">
        <w:rPr>
          <w:rFonts w:ascii="Arial" w:hAnsi="Arial" w:cs="Arial"/>
          <w:b/>
          <w:iCs/>
          <w:color w:val="auto"/>
          <w:sz w:val="20"/>
          <w:szCs w:val="20"/>
          <w:lang w:val="en-US"/>
        </w:rPr>
        <w:lastRenderedPageBreak/>
        <w:t>ULK1:</w:t>
      </w:r>
      <w:r w:rsidRPr="006143D1">
        <w:rPr>
          <w:rFonts w:ascii="Arial" w:hAnsi="Arial" w:cs="Arial"/>
          <w:b/>
          <w:iCs/>
          <w:color w:val="auto"/>
          <w:sz w:val="20"/>
          <w:szCs w:val="20"/>
          <w:lang w:val="en-US"/>
        </w:rPr>
        <w:tab/>
      </w:r>
      <w:r>
        <w:rPr>
          <w:rFonts w:ascii="Arial" w:hAnsi="Arial" w:cs="Arial"/>
          <w:b/>
          <w:iCs/>
          <w:color w:val="auto"/>
          <w:sz w:val="20"/>
          <w:szCs w:val="20"/>
          <w:lang w:val="en-US"/>
        </w:rPr>
        <w:tab/>
      </w:r>
      <w:r w:rsidRPr="006143D1">
        <w:rPr>
          <w:rFonts w:ascii="Arial" w:hAnsi="Arial" w:cs="Arial"/>
          <w:color w:val="auto"/>
          <w:sz w:val="20"/>
          <w:szCs w:val="20"/>
        </w:rPr>
        <w:t xml:space="preserve">Unc-51 slična kinaza 1 koja aktivira autofagiju </w:t>
      </w:r>
      <w:r>
        <w:rPr>
          <w:rFonts w:ascii="Arial" w:hAnsi="Arial" w:cs="Arial"/>
          <w:iCs/>
          <w:color w:val="auto"/>
          <w:sz w:val="20"/>
          <w:szCs w:val="20"/>
          <w:lang w:val="en-US"/>
        </w:rPr>
        <w:t>(eng</w:t>
      </w:r>
      <w:r w:rsidRPr="006143D1">
        <w:rPr>
          <w:rFonts w:ascii="Arial" w:hAnsi="Arial" w:cs="Arial"/>
          <w:iCs/>
          <w:color w:val="auto"/>
          <w:sz w:val="20"/>
          <w:szCs w:val="20"/>
          <w:lang w:val="en-US"/>
        </w:rPr>
        <w:t xml:space="preserve">. </w:t>
      </w:r>
      <w:r w:rsidRPr="006143D1">
        <w:rPr>
          <w:rFonts w:ascii="Arial" w:hAnsi="Arial" w:cs="Arial"/>
          <w:i/>
          <w:color w:val="auto"/>
          <w:sz w:val="20"/>
          <w:szCs w:val="20"/>
        </w:rPr>
        <w:t xml:space="preserve">Unc-51 like autophagy activating </w:t>
      </w:r>
      <w:r>
        <w:rPr>
          <w:rFonts w:ascii="Arial" w:hAnsi="Arial" w:cs="Arial"/>
          <w:i/>
          <w:color w:val="auto"/>
          <w:sz w:val="20"/>
          <w:szCs w:val="20"/>
        </w:rPr>
        <w:br/>
        <w:t xml:space="preserve">                         </w:t>
      </w:r>
      <w:r w:rsidRPr="006143D1">
        <w:rPr>
          <w:rFonts w:ascii="Arial" w:hAnsi="Arial" w:cs="Arial"/>
          <w:i/>
          <w:color w:val="auto"/>
          <w:sz w:val="20"/>
          <w:szCs w:val="20"/>
        </w:rPr>
        <w:t>kinase</w:t>
      </w:r>
      <w:r w:rsidRPr="006143D1">
        <w:rPr>
          <w:rFonts w:ascii="Arial" w:hAnsi="Arial" w:cs="Arial"/>
          <w:color w:val="auto"/>
          <w:sz w:val="20"/>
          <w:szCs w:val="20"/>
        </w:rPr>
        <w:t>)</w:t>
      </w:r>
      <w:r>
        <w:rPr>
          <w:rFonts w:ascii="Arial" w:hAnsi="Arial" w:cs="Arial"/>
          <w:color w:val="auto"/>
          <w:sz w:val="20"/>
          <w:szCs w:val="20"/>
        </w:rPr>
        <w:br/>
      </w:r>
      <w:r w:rsidRPr="006143D1">
        <w:rPr>
          <w:rFonts w:ascii="Arial" w:hAnsi="Arial" w:cs="Arial"/>
          <w:b/>
          <w:color w:val="auto"/>
          <w:sz w:val="20"/>
          <w:szCs w:val="20"/>
        </w:rPr>
        <w:t>VIR</w:t>
      </w:r>
      <w:r w:rsidRPr="006143D1">
        <w:rPr>
          <w:rFonts w:ascii="Arial" w:hAnsi="Arial" w:cs="Arial"/>
          <w:b/>
          <w:i/>
          <w:iCs/>
          <w:color w:val="auto"/>
          <w:sz w:val="20"/>
          <w:szCs w:val="20"/>
          <w:lang w:val="en-US"/>
        </w:rPr>
        <w:t>:</w:t>
      </w:r>
      <w:r w:rsidRPr="006143D1">
        <w:rPr>
          <w:rFonts w:ascii="Arial" w:hAnsi="Arial" w:cs="Arial"/>
          <w:b/>
          <w:i/>
          <w:iCs/>
          <w:color w:val="auto"/>
          <w:sz w:val="20"/>
          <w:szCs w:val="20"/>
          <w:lang w:val="en-US"/>
        </w:rPr>
        <w:tab/>
      </w:r>
      <w:r>
        <w:rPr>
          <w:rFonts w:ascii="Arial" w:hAnsi="Arial" w:cs="Arial"/>
          <w:b/>
          <w:i/>
          <w:iCs/>
          <w:color w:val="auto"/>
          <w:sz w:val="20"/>
          <w:szCs w:val="20"/>
          <w:lang w:val="en-US"/>
        </w:rPr>
        <w:tab/>
      </w:r>
      <w:r w:rsidRPr="006143D1">
        <w:rPr>
          <w:rFonts w:ascii="Arial" w:hAnsi="Arial" w:cs="Arial"/>
          <w:iCs/>
          <w:color w:val="auto"/>
          <w:sz w:val="20"/>
          <w:szCs w:val="20"/>
          <w:lang w:val="en-US"/>
        </w:rPr>
        <w:t>vagalni upalni reflex (eng. vagal inflammatory reflex)</w:t>
      </w:r>
      <w:r w:rsidRPr="006143D1">
        <w:rPr>
          <w:rFonts w:ascii="Arial" w:hAnsi="Arial" w:cs="Arial"/>
          <w:color w:val="auto"/>
          <w:sz w:val="20"/>
          <w:szCs w:val="20"/>
        </w:rPr>
        <w:br/>
      </w:r>
    </w:p>
    <w:p w14:paraId="3871EB2F" w14:textId="3D331929" w:rsidR="002926CB" w:rsidRPr="002926CB" w:rsidRDefault="002926CB" w:rsidP="002926CB">
      <w:pPr>
        <w:rPr>
          <w:rFonts w:ascii="Arial" w:hAnsi="Arial" w:cs="Arial"/>
          <w:sz w:val="20"/>
          <w:szCs w:val="20"/>
        </w:rPr>
      </w:pPr>
      <w:r>
        <w:rPr>
          <w:rFonts w:ascii="Arial" w:hAnsi="Arial" w:cs="Arial"/>
          <w:b/>
          <w:sz w:val="24"/>
          <w:szCs w:val="24"/>
        </w:rPr>
        <w:lastRenderedPageBreak/>
        <w:t>SADRŽAJ</w:t>
      </w:r>
      <w:r>
        <w:rPr>
          <w:rFonts w:ascii="Arial" w:hAnsi="Arial" w:cs="Arial"/>
          <w:b/>
          <w:sz w:val="24"/>
          <w:szCs w:val="24"/>
        </w:rPr>
        <w:br/>
      </w:r>
      <w:r>
        <w:rPr>
          <w:rFonts w:ascii="Arial" w:hAnsi="Arial" w:cs="Arial"/>
          <w:b/>
          <w:sz w:val="24"/>
          <w:szCs w:val="24"/>
        </w:rPr>
        <w:br/>
      </w:r>
      <w:r w:rsidRPr="002926CB">
        <w:rPr>
          <w:rFonts w:ascii="Arial" w:hAnsi="Arial" w:cs="Arial"/>
          <w:sz w:val="20"/>
          <w:szCs w:val="20"/>
        </w:rPr>
        <w:t>UVOD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1</w:t>
      </w:r>
    </w:p>
    <w:p w14:paraId="05584664" w14:textId="12A24DF1" w:rsidR="002926CB" w:rsidRPr="002926CB" w:rsidRDefault="002926CB" w:rsidP="002926CB">
      <w:pPr>
        <w:rPr>
          <w:rFonts w:ascii="Arial" w:hAnsi="Arial" w:cs="Arial"/>
          <w:sz w:val="20"/>
          <w:szCs w:val="20"/>
        </w:rPr>
      </w:pPr>
      <w:r w:rsidRPr="002926CB">
        <w:rPr>
          <w:rFonts w:ascii="Arial" w:hAnsi="Arial" w:cs="Arial"/>
          <w:sz w:val="20"/>
          <w:szCs w:val="20"/>
        </w:rPr>
        <w:t xml:space="preserve">1.1. Alzheimerova bolest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1</w:t>
      </w:r>
    </w:p>
    <w:p w14:paraId="2691156A" w14:textId="7C081369" w:rsidR="002926CB" w:rsidRPr="002926CB" w:rsidRDefault="002926CB" w:rsidP="002926CB">
      <w:pPr>
        <w:rPr>
          <w:rFonts w:ascii="Arial" w:hAnsi="Arial" w:cs="Arial"/>
          <w:sz w:val="20"/>
          <w:szCs w:val="20"/>
        </w:rPr>
      </w:pPr>
      <w:r w:rsidRPr="002926CB">
        <w:rPr>
          <w:rFonts w:ascii="Arial" w:hAnsi="Arial" w:cs="Arial"/>
          <w:sz w:val="20"/>
          <w:szCs w:val="20"/>
        </w:rPr>
        <w:t xml:space="preserve">1.2. Etiopatogeneza Alzheimerove bolesti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1</w:t>
      </w:r>
    </w:p>
    <w:p w14:paraId="26EF47FE" w14:textId="270BA056" w:rsidR="002926CB" w:rsidRPr="002926CB" w:rsidRDefault="002926CB" w:rsidP="002926CB">
      <w:pPr>
        <w:rPr>
          <w:rFonts w:ascii="Arial" w:hAnsi="Arial" w:cs="Arial"/>
          <w:sz w:val="20"/>
          <w:szCs w:val="20"/>
        </w:rPr>
      </w:pPr>
      <w:r w:rsidRPr="002926CB">
        <w:rPr>
          <w:rFonts w:ascii="Arial" w:hAnsi="Arial" w:cs="Arial"/>
          <w:sz w:val="20"/>
          <w:szCs w:val="20"/>
        </w:rPr>
        <w:t xml:space="preserve">1.3. Štakorski model sAD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2</w:t>
      </w:r>
    </w:p>
    <w:p w14:paraId="44A9B5DD" w14:textId="4D9DB19F" w:rsidR="002926CB" w:rsidRPr="002926CB" w:rsidRDefault="002926CB" w:rsidP="002926CB">
      <w:pPr>
        <w:rPr>
          <w:rFonts w:ascii="Arial" w:hAnsi="Arial" w:cs="Arial"/>
          <w:sz w:val="20"/>
          <w:szCs w:val="20"/>
        </w:rPr>
      </w:pPr>
      <w:r w:rsidRPr="002926CB">
        <w:rPr>
          <w:rFonts w:ascii="Arial" w:hAnsi="Arial" w:cs="Arial"/>
          <w:sz w:val="20"/>
          <w:szCs w:val="20"/>
        </w:rPr>
        <w:t xml:space="preserve">1.4. Moždano deblo u AD i važnost dorzalne motorne jezgre vagusa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2</w:t>
      </w:r>
    </w:p>
    <w:p w14:paraId="3DB2A9EA" w14:textId="21E585A6" w:rsidR="002926CB" w:rsidRPr="002926CB" w:rsidRDefault="002926CB" w:rsidP="002926CB">
      <w:pPr>
        <w:rPr>
          <w:rFonts w:ascii="Arial" w:hAnsi="Arial" w:cs="Arial"/>
          <w:sz w:val="20"/>
          <w:szCs w:val="20"/>
        </w:rPr>
      </w:pPr>
      <w:r w:rsidRPr="002926CB">
        <w:rPr>
          <w:rFonts w:ascii="Arial" w:hAnsi="Arial" w:cs="Arial"/>
          <w:sz w:val="20"/>
          <w:szCs w:val="20"/>
        </w:rPr>
        <w:t xml:space="preserve">2. HIPOTEZA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3</w:t>
      </w:r>
    </w:p>
    <w:p w14:paraId="0A2D4C8E" w14:textId="43561CEB" w:rsidR="002926CB" w:rsidRPr="002926CB" w:rsidRDefault="002926CB" w:rsidP="002926CB">
      <w:pPr>
        <w:rPr>
          <w:rFonts w:ascii="Arial" w:hAnsi="Arial" w:cs="Arial"/>
          <w:sz w:val="20"/>
          <w:szCs w:val="20"/>
        </w:rPr>
      </w:pPr>
      <w:r w:rsidRPr="002926CB">
        <w:rPr>
          <w:rFonts w:ascii="Arial" w:hAnsi="Arial" w:cs="Arial"/>
          <w:sz w:val="20"/>
          <w:szCs w:val="20"/>
        </w:rPr>
        <w:t xml:space="preserve">3. OPĆI CILJ I SPECIFIČNI CILJEVI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3</w:t>
      </w:r>
    </w:p>
    <w:p w14:paraId="06DE8F33" w14:textId="4D16A8DA" w:rsidR="002926CB" w:rsidRPr="002926CB" w:rsidRDefault="002926CB" w:rsidP="002926CB">
      <w:pPr>
        <w:rPr>
          <w:rFonts w:ascii="Arial" w:hAnsi="Arial" w:cs="Arial"/>
          <w:sz w:val="20"/>
          <w:szCs w:val="20"/>
        </w:rPr>
      </w:pPr>
      <w:r w:rsidRPr="002926CB">
        <w:rPr>
          <w:rFonts w:ascii="Arial" w:hAnsi="Arial" w:cs="Arial"/>
          <w:sz w:val="20"/>
          <w:szCs w:val="20"/>
        </w:rPr>
        <w:t xml:space="preserve">4. MATERIJALI I METODE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4</w:t>
      </w:r>
    </w:p>
    <w:p w14:paraId="23284011" w14:textId="1996721E" w:rsidR="002926CB" w:rsidRPr="002926CB" w:rsidRDefault="002926CB" w:rsidP="002926CB">
      <w:pPr>
        <w:rPr>
          <w:rFonts w:ascii="Arial" w:hAnsi="Arial" w:cs="Arial"/>
          <w:sz w:val="20"/>
          <w:szCs w:val="20"/>
        </w:rPr>
      </w:pPr>
      <w:r w:rsidRPr="002926CB">
        <w:rPr>
          <w:rFonts w:ascii="Arial" w:hAnsi="Arial" w:cs="Arial"/>
          <w:sz w:val="20"/>
          <w:szCs w:val="20"/>
        </w:rPr>
        <w:t xml:space="preserve">4.1. Materijali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4</w:t>
      </w:r>
    </w:p>
    <w:p w14:paraId="5A2E89EA" w14:textId="3707BC6C" w:rsidR="002926CB" w:rsidRPr="002926CB" w:rsidRDefault="002926CB" w:rsidP="002926CB">
      <w:pPr>
        <w:rPr>
          <w:rFonts w:ascii="Arial" w:hAnsi="Arial" w:cs="Arial"/>
          <w:sz w:val="20"/>
          <w:szCs w:val="20"/>
        </w:rPr>
      </w:pPr>
      <w:r w:rsidRPr="002926CB">
        <w:rPr>
          <w:rFonts w:ascii="Arial" w:hAnsi="Arial" w:cs="Arial"/>
          <w:sz w:val="20"/>
          <w:szCs w:val="20"/>
        </w:rPr>
        <w:t xml:space="preserve">4.1.1. Kemikalije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4</w:t>
      </w:r>
    </w:p>
    <w:p w14:paraId="466DC99F" w14:textId="7E2A22D3" w:rsidR="002926CB" w:rsidRPr="002926CB" w:rsidRDefault="002926CB" w:rsidP="002926CB">
      <w:pPr>
        <w:rPr>
          <w:rFonts w:ascii="Arial" w:hAnsi="Arial" w:cs="Arial"/>
          <w:sz w:val="20"/>
          <w:szCs w:val="20"/>
        </w:rPr>
      </w:pPr>
      <w:r w:rsidRPr="002926CB">
        <w:rPr>
          <w:rFonts w:ascii="Arial" w:hAnsi="Arial" w:cs="Arial"/>
          <w:sz w:val="20"/>
          <w:szCs w:val="20"/>
        </w:rPr>
        <w:t xml:space="preserve">4.1.2. Životinje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4</w:t>
      </w:r>
    </w:p>
    <w:p w14:paraId="7CDCBD03" w14:textId="25D0A061" w:rsidR="002926CB" w:rsidRPr="002926CB" w:rsidRDefault="002926CB" w:rsidP="002926CB">
      <w:pPr>
        <w:rPr>
          <w:rFonts w:ascii="Arial" w:hAnsi="Arial" w:cs="Arial"/>
          <w:sz w:val="20"/>
          <w:szCs w:val="20"/>
        </w:rPr>
      </w:pPr>
      <w:r w:rsidRPr="002926CB">
        <w:rPr>
          <w:rFonts w:ascii="Arial" w:hAnsi="Arial" w:cs="Arial"/>
          <w:sz w:val="20"/>
          <w:szCs w:val="20"/>
        </w:rPr>
        <w:t xml:space="preserve">4.2. Metode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4</w:t>
      </w:r>
    </w:p>
    <w:p w14:paraId="3B4C1DA4" w14:textId="1CD594FA" w:rsidR="002926CB" w:rsidRPr="002926CB" w:rsidRDefault="002926CB" w:rsidP="002926CB">
      <w:pPr>
        <w:rPr>
          <w:rFonts w:ascii="Arial" w:hAnsi="Arial" w:cs="Arial"/>
          <w:sz w:val="20"/>
          <w:szCs w:val="20"/>
        </w:rPr>
      </w:pPr>
      <w:r w:rsidRPr="002926CB">
        <w:rPr>
          <w:rFonts w:ascii="Arial" w:hAnsi="Arial" w:cs="Arial"/>
          <w:sz w:val="20"/>
          <w:szCs w:val="20"/>
        </w:rPr>
        <w:t xml:space="preserve">4.2.1. Izrada eksperimentalnog modela sporadične Alzheimerove bolesti </w:t>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4</w:t>
      </w:r>
    </w:p>
    <w:p w14:paraId="7219F8AA" w14:textId="66E5CCE6" w:rsidR="002926CB" w:rsidRPr="002926CB" w:rsidRDefault="002926CB" w:rsidP="002926CB">
      <w:pPr>
        <w:rPr>
          <w:rFonts w:ascii="Arial" w:hAnsi="Arial" w:cs="Arial"/>
          <w:sz w:val="20"/>
          <w:szCs w:val="20"/>
        </w:rPr>
      </w:pPr>
      <w:r w:rsidRPr="002926CB">
        <w:rPr>
          <w:rFonts w:ascii="Arial" w:hAnsi="Arial" w:cs="Arial"/>
          <w:sz w:val="20"/>
          <w:szCs w:val="20"/>
        </w:rPr>
        <w:t xml:space="preserve">4.2.2. Protokol eksperimenta za evaluaciju akutnog učinka STZ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6143D1">
        <w:rPr>
          <w:rFonts w:ascii="Arial" w:hAnsi="Arial" w:cs="Arial"/>
          <w:sz w:val="20"/>
          <w:szCs w:val="20"/>
        </w:rPr>
        <w:t>5</w:t>
      </w:r>
    </w:p>
    <w:p w14:paraId="696574A9" w14:textId="77777777" w:rsidR="002926CB" w:rsidRPr="002926CB" w:rsidRDefault="002926CB" w:rsidP="002926CB">
      <w:pPr>
        <w:rPr>
          <w:rFonts w:ascii="Arial" w:hAnsi="Arial" w:cs="Arial"/>
          <w:sz w:val="20"/>
          <w:szCs w:val="20"/>
        </w:rPr>
      </w:pPr>
      <w:r w:rsidRPr="002926CB">
        <w:rPr>
          <w:rFonts w:ascii="Arial" w:hAnsi="Arial" w:cs="Arial"/>
          <w:sz w:val="20"/>
          <w:szCs w:val="20"/>
        </w:rPr>
        <w:t>4.2.3. Protokol eksperimenta za evaluaciju kroničnog učinka STZ i akutnog učinka peroralne i</w:t>
      </w:r>
    </w:p>
    <w:p w14:paraId="74396E9A" w14:textId="08BBE411" w:rsidR="002926CB" w:rsidRPr="002926CB" w:rsidRDefault="002926CB" w:rsidP="002926CB">
      <w:pPr>
        <w:rPr>
          <w:rFonts w:ascii="Arial" w:hAnsi="Arial" w:cs="Arial"/>
          <w:sz w:val="20"/>
          <w:szCs w:val="20"/>
        </w:rPr>
      </w:pPr>
      <w:r w:rsidRPr="002926CB">
        <w:rPr>
          <w:rFonts w:ascii="Arial" w:hAnsi="Arial" w:cs="Arial"/>
          <w:sz w:val="20"/>
          <w:szCs w:val="20"/>
        </w:rPr>
        <w:t xml:space="preserve">intraperitonealne administracije D-galaktoze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5</w:t>
      </w:r>
    </w:p>
    <w:p w14:paraId="5A5509C6" w14:textId="0BF926D1" w:rsidR="002926CB" w:rsidRPr="002926CB" w:rsidRDefault="002926CB" w:rsidP="002926CB">
      <w:pPr>
        <w:rPr>
          <w:rFonts w:ascii="Arial" w:hAnsi="Arial" w:cs="Arial"/>
          <w:sz w:val="20"/>
          <w:szCs w:val="20"/>
        </w:rPr>
      </w:pPr>
      <w:r w:rsidRPr="002926CB">
        <w:rPr>
          <w:rFonts w:ascii="Arial" w:hAnsi="Arial" w:cs="Arial"/>
          <w:sz w:val="20"/>
          <w:szCs w:val="20"/>
        </w:rPr>
        <w:t xml:space="preserve">4.2.4. Protokol žrtvovanja i uzimanja biološkog materijala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5</w:t>
      </w:r>
    </w:p>
    <w:p w14:paraId="0B64C647" w14:textId="5B9E669A" w:rsidR="002926CB" w:rsidRPr="002926CB" w:rsidRDefault="002926CB" w:rsidP="002926CB">
      <w:pPr>
        <w:rPr>
          <w:rFonts w:ascii="Arial" w:hAnsi="Arial" w:cs="Arial"/>
          <w:sz w:val="20"/>
          <w:szCs w:val="20"/>
        </w:rPr>
      </w:pPr>
      <w:r w:rsidRPr="002926CB">
        <w:rPr>
          <w:rFonts w:ascii="Arial" w:hAnsi="Arial" w:cs="Arial"/>
          <w:sz w:val="20"/>
          <w:szCs w:val="20"/>
        </w:rPr>
        <w:t xml:space="preserve">4.2.5. Homogeniziranje tkiva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6</w:t>
      </w:r>
    </w:p>
    <w:p w14:paraId="34174100" w14:textId="4F21D5B0" w:rsidR="002926CB" w:rsidRPr="002926CB" w:rsidRDefault="002926CB" w:rsidP="002926CB">
      <w:pPr>
        <w:rPr>
          <w:rFonts w:ascii="Arial" w:hAnsi="Arial" w:cs="Arial"/>
          <w:sz w:val="20"/>
          <w:szCs w:val="20"/>
        </w:rPr>
      </w:pPr>
      <w:r w:rsidRPr="002926CB">
        <w:rPr>
          <w:rFonts w:ascii="Arial" w:hAnsi="Arial" w:cs="Arial"/>
          <w:sz w:val="20"/>
          <w:szCs w:val="20"/>
        </w:rPr>
        <w:t>4.2.6. Mjerenje koncentracije proteina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 xml:space="preserve"> </w:t>
      </w:r>
      <w:r>
        <w:rPr>
          <w:rFonts w:ascii="Arial" w:hAnsi="Arial" w:cs="Arial"/>
          <w:sz w:val="20"/>
          <w:szCs w:val="20"/>
        </w:rPr>
        <w:tab/>
      </w:r>
      <w:r w:rsidRPr="002926CB">
        <w:rPr>
          <w:rFonts w:ascii="Arial" w:hAnsi="Arial" w:cs="Arial"/>
          <w:sz w:val="20"/>
          <w:szCs w:val="20"/>
        </w:rPr>
        <w:t>6</w:t>
      </w:r>
    </w:p>
    <w:p w14:paraId="7B25611B" w14:textId="2D20A095" w:rsidR="002926CB" w:rsidRPr="002926CB" w:rsidRDefault="002926CB" w:rsidP="002926CB">
      <w:pPr>
        <w:rPr>
          <w:rFonts w:ascii="Arial" w:hAnsi="Arial" w:cs="Arial"/>
          <w:sz w:val="20"/>
          <w:szCs w:val="20"/>
        </w:rPr>
      </w:pPr>
      <w:r w:rsidRPr="002926CB">
        <w:rPr>
          <w:rFonts w:ascii="Arial" w:hAnsi="Arial" w:cs="Arial"/>
          <w:sz w:val="20"/>
          <w:szCs w:val="20"/>
        </w:rPr>
        <w:t xml:space="preserve">4.2.7. Western blot analiza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6</w:t>
      </w:r>
    </w:p>
    <w:p w14:paraId="640B4D48" w14:textId="0EF07FBF" w:rsidR="002926CB" w:rsidRPr="002926CB" w:rsidRDefault="002926CB" w:rsidP="002926CB">
      <w:pPr>
        <w:rPr>
          <w:rFonts w:ascii="Arial" w:hAnsi="Arial" w:cs="Arial"/>
          <w:sz w:val="20"/>
          <w:szCs w:val="20"/>
        </w:rPr>
      </w:pPr>
      <w:r w:rsidRPr="002926CB">
        <w:rPr>
          <w:rFonts w:ascii="Arial" w:hAnsi="Arial" w:cs="Arial"/>
          <w:sz w:val="20"/>
          <w:szCs w:val="20"/>
        </w:rPr>
        <w:t xml:space="preserve">4.2.8. Imunofluorescentno bojanje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7</w:t>
      </w:r>
    </w:p>
    <w:p w14:paraId="20A0A264" w14:textId="41C90D1D" w:rsidR="002926CB" w:rsidRPr="002926CB" w:rsidRDefault="002926CB" w:rsidP="002926CB">
      <w:pPr>
        <w:rPr>
          <w:rFonts w:ascii="Arial" w:hAnsi="Arial" w:cs="Arial"/>
          <w:sz w:val="20"/>
          <w:szCs w:val="20"/>
        </w:rPr>
      </w:pPr>
      <w:r w:rsidRPr="002926CB">
        <w:rPr>
          <w:rFonts w:ascii="Arial" w:hAnsi="Arial" w:cs="Arial"/>
          <w:sz w:val="20"/>
          <w:szCs w:val="20"/>
        </w:rPr>
        <w:lastRenderedPageBreak/>
        <w:t xml:space="preserve">4.2.9. Mjerenje antioksidativnog kapaciteta i oksidativnog stresa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8</w:t>
      </w:r>
    </w:p>
    <w:p w14:paraId="4D82AAFF" w14:textId="776E8CD1" w:rsidR="002926CB" w:rsidRPr="002926CB" w:rsidRDefault="002926CB" w:rsidP="002926CB">
      <w:pPr>
        <w:rPr>
          <w:rFonts w:ascii="Arial" w:hAnsi="Arial" w:cs="Arial"/>
          <w:sz w:val="20"/>
          <w:szCs w:val="20"/>
        </w:rPr>
      </w:pPr>
      <w:r w:rsidRPr="002926CB">
        <w:rPr>
          <w:rFonts w:ascii="Arial" w:hAnsi="Arial" w:cs="Arial"/>
          <w:sz w:val="20"/>
          <w:szCs w:val="20"/>
        </w:rPr>
        <w:t xml:space="preserve">4.2.9.1. Mjerenje aktivnosti katalaze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8</w:t>
      </w:r>
    </w:p>
    <w:p w14:paraId="28E6DC38" w14:textId="228EBAB3" w:rsidR="002926CB" w:rsidRPr="002926CB" w:rsidRDefault="002926CB" w:rsidP="002926CB">
      <w:pPr>
        <w:rPr>
          <w:rFonts w:ascii="Arial" w:hAnsi="Arial" w:cs="Arial"/>
          <w:sz w:val="20"/>
          <w:szCs w:val="20"/>
        </w:rPr>
      </w:pPr>
      <w:r w:rsidRPr="002926CB">
        <w:rPr>
          <w:rFonts w:ascii="Arial" w:hAnsi="Arial" w:cs="Arial"/>
          <w:sz w:val="20"/>
          <w:szCs w:val="20"/>
        </w:rPr>
        <w:t xml:space="preserve">4.2.9.2. Mjerenje ukupne količine reduciranog glutationa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6143D1">
        <w:rPr>
          <w:rFonts w:ascii="Arial" w:hAnsi="Arial" w:cs="Arial"/>
          <w:sz w:val="20"/>
          <w:szCs w:val="20"/>
        </w:rPr>
        <w:t>8</w:t>
      </w:r>
    </w:p>
    <w:p w14:paraId="3B9B132E" w14:textId="24B026E1" w:rsidR="002926CB" w:rsidRPr="002926CB" w:rsidRDefault="002926CB" w:rsidP="002926CB">
      <w:pPr>
        <w:rPr>
          <w:rFonts w:ascii="Arial" w:hAnsi="Arial" w:cs="Arial"/>
          <w:sz w:val="20"/>
          <w:szCs w:val="20"/>
        </w:rPr>
      </w:pPr>
      <w:r w:rsidRPr="002926CB">
        <w:rPr>
          <w:rFonts w:ascii="Arial" w:hAnsi="Arial" w:cs="Arial"/>
          <w:sz w:val="20"/>
          <w:szCs w:val="20"/>
        </w:rPr>
        <w:t xml:space="preserve">4.2.9.3. Mjerenje lipidne peroksidacije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6143D1">
        <w:rPr>
          <w:rFonts w:ascii="Arial" w:hAnsi="Arial" w:cs="Arial"/>
          <w:sz w:val="20"/>
          <w:szCs w:val="20"/>
        </w:rPr>
        <w:t>9</w:t>
      </w:r>
    </w:p>
    <w:p w14:paraId="473BA673" w14:textId="1C0B21AD" w:rsidR="002926CB" w:rsidRPr="002926CB" w:rsidRDefault="002926CB" w:rsidP="002926CB">
      <w:pPr>
        <w:rPr>
          <w:rFonts w:ascii="Arial" w:hAnsi="Arial" w:cs="Arial"/>
          <w:sz w:val="20"/>
          <w:szCs w:val="20"/>
        </w:rPr>
      </w:pPr>
      <w:r w:rsidRPr="002926CB">
        <w:rPr>
          <w:rFonts w:ascii="Arial" w:hAnsi="Arial" w:cs="Arial"/>
          <w:sz w:val="20"/>
          <w:szCs w:val="20"/>
        </w:rPr>
        <w:t xml:space="preserve">4.2.10. Statistička analiza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9</w:t>
      </w:r>
    </w:p>
    <w:p w14:paraId="566D6257" w14:textId="34085DDF" w:rsidR="002926CB" w:rsidRPr="002926CB" w:rsidRDefault="002926CB" w:rsidP="002926CB">
      <w:pPr>
        <w:rPr>
          <w:rFonts w:ascii="Arial" w:hAnsi="Arial" w:cs="Arial"/>
          <w:sz w:val="20"/>
          <w:szCs w:val="20"/>
        </w:rPr>
      </w:pPr>
      <w:r w:rsidRPr="002926CB">
        <w:rPr>
          <w:rFonts w:ascii="Arial" w:hAnsi="Arial" w:cs="Arial"/>
          <w:sz w:val="20"/>
          <w:szCs w:val="20"/>
        </w:rPr>
        <w:t>5. REZULTATI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926CB">
        <w:rPr>
          <w:rFonts w:ascii="Arial" w:hAnsi="Arial" w:cs="Arial"/>
          <w:sz w:val="20"/>
          <w:szCs w:val="20"/>
        </w:rPr>
        <w:t>9</w:t>
      </w:r>
    </w:p>
    <w:p w14:paraId="3D629845" w14:textId="175D41F7" w:rsidR="002926CB" w:rsidRPr="002926CB" w:rsidRDefault="002926CB" w:rsidP="002926CB">
      <w:pPr>
        <w:rPr>
          <w:rFonts w:ascii="Arial" w:hAnsi="Arial" w:cs="Arial"/>
          <w:sz w:val="20"/>
          <w:szCs w:val="20"/>
        </w:rPr>
      </w:pPr>
      <w:r w:rsidRPr="002926CB">
        <w:rPr>
          <w:rFonts w:ascii="Arial" w:hAnsi="Arial" w:cs="Arial"/>
          <w:sz w:val="20"/>
          <w:szCs w:val="20"/>
        </w:rPr>
        <w:t xml:space="preserve">5.1. Akutni učinak STZ-icv na biokemijske promjene u DMNX štakora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9</w:t>
      </w:r>
    </w:p>
    <w:p w14:paraId="0A7861CA" w14:textId="1B945A83" w:rsidR="002926CB" w:rsidRPr="002926CB" w:rsidRDefault="002926CB" w:rsidP="002926CB">
      <w:pPr>
        <w:rPr>
          <w:rFonts w:ascii="Arial" w:hAnsi="Arial" w:cs="Arial"/>
          <w:sz w:val="20"/>
          <w:szCs w:val="20"/>
        </w:rPr>
      </w:pPr>
      <w:r w:rsidRPr="002926CB">
        <w:rPr>
          <w:rFonts w:ascii="Arial" w:hAnsi="Arial" w:cs="Arial"/>
          <w:sz w:val="20"/>
          <w:szCs w:val="20"/>
        </w:rPr>
        <w:t xml:space="preserve">5.1.1. Akutni učinak STZ-icv na ekspresiju c-fos u DMNX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9</w:t>
      </w:r>
    </w:p>
    <w:p w14:paraId="474C4A3D" w14:textId="5406E1A4" w:rsidR="002926CB" w:rsidRPr="002926CB" w:rsidRDefault="002926CB" w:rsidP="002926CB">
      <w:pPr>
        <w:rPr>
          <w:rFonts w:ascii="Arial" w:hAnsi="Arial" w:cs="Arial"/>
          <w:sz w:val="20"/>
          <w:szCs w:val="20"/>
        </w:rPr>
      </w:pPr>
      <w:r w:rsidRPr="002926CB">
        <w:rPr>
          <w:rFonts w:ascii="Arial" w:hAnsi="Arial" w:cs="Arial"/>
          <w:sz w:val="20"/>
          <w:szCs w:val="20"/>
        </w:rPr>
        <w:t xml:space="preserve">5.1.2. Akutni učinak STZ-icv na metaboličke promjene u DMNX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10</w:t>
      </w:r>
    </w:p>
    <w:p w14:paraId="54C8E76B" w14:textId="66AB77EC" w:rsidR="002926CB" w:rsidRPr="002926CB" w:rsidRDefault="002926CB" w:rsidP="002926CB">
      <w:pPr>
        <w:rPr>
          <w:rFonts w:ascii="Arial" w:hAnsi="Arial" w:cs="Arial"/>
          <w:sz w:val="20"/>
          <w:szCs w:val="20"/>
        </w:rPr>
      </w:pPr>
      <w:r w:rsidRPr="002926CB">
        <w:rPr>
          <w:rFonts w:ascii="Arial" w:hAnsi="Arial" w:cs="Arial"/>
          <w:sz w:val="20"/>
          <w:szCs w:val="20"/>
        </w:rPr>
        <w:t xml:space="preserve">5.1.3. Akutni učinak STZ-icv na GFAP ekspresiju u DMNX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11</w:t>
      </w:r>
    </w:p>
    <w:p w14:paraId="3A62C4DF" w14:textId="15A4F3FB" w:rsidR="002926CB" w:rsidRPr="002926CB" w:rsidRDefault="002926CB" w:rsidP="002926CB">
      <w:pPr>
        <w:rPr>
          <w:rFonts w:ascii="Arial" w:hAnsi="Arial" w:cs="Arial"/>
          <w:sz w:val="20"/>
          <w:szCs w:val="20"/>
        </w:rPr>
      </w:pPr>
      <w:r w:rsidRPr="002926CB">
        <w:rPr>
          <w:rFonts w:ascii="Arial" w:hAnsi="Arial" w:cs="Arial"/>
          <w:sz w:val="20"/>
          <w:szCs w:val="20"/>
        </w:rPr>
        <w:t xml:space="preserve">5.2. Učinak STZ-icv na biokemijske promjene u </w:t>
      </w:r>
      <w:r w:rsidR="006143D1">
        <w:rPr>
          <w:rFonts w:ascii="Arial" w:hAnsi="Arial" w:cs="Arial"/>
          <w:sz w:val="20"/>
          <w:szCs w:val="20"/>
        </w:rPr>
        <w:t xml:space="preserve">DMNX </w:t>
      </w:r>
      <w:r w:rsidRPr="002926CB">
        <w:rPr>
          <w:rFonts w:ascii="Arial" w:hAnsi="Arial" w:cs="Arial"/>
          <w:sz w:val="20"/>
          <w:szCs w:val="20"/>
        </w:rPr>
        <w:t>štakora mjesec dana</w:t>
      </w:r>
    </w:p>
    <w:p w14:paraId="7A27600C" w14:textId="69E92E6B" w:rsidR="002926CB" w:rsidRPr="002926CB" w:rsidRDefault="002926CB" w:rsidP="002926CB">
      <w:pPr>
        <w:rPr>
          <w:rFonts w:ascii="Arial" w:hAnsi="Arial" w:cs="Arial"/>
          <w:sz w:val="20"/>
          <w:szCs w:val="20"/>
        </w:rPr>
      </w:pPr>
      <w:r w:rsidRPr="002926CB">
        <w:rPr>
          <w:rFonts w:ascii="Arial" w:hAnsi="Arial" w:cs="Arial"/>
          <w:sz w:val="20"/>
          <w:szCs w:val="20"/>
        </w:rPr>
        <w:t xml:space="preserve">nakon tretmana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12</w:t>
      </w:r>
    </w:p>
    <w:p w14:paraId="539C9FAC" w14:textId="77777777" w:rsidR="002926CB" w:rsidRPr="002926CB" w:rsidRDefault="002926CB" w:rsidP="002926CB">
      <w:pPr>
        <w:rPr>
          <w:rFonts w:ascii="Arial" w:hAnsi="Arial" w:cs="Arial"/>
          <w:sz w:val="20"/>
          <w:szCs w:val="20"/>
        </w:rPr>
      </w:pPr>
      <w:r w:rsidRPr="002926CB">
        <w:rPr>
          <w:rFonts w:ascii="Arial" w:hAnsi="Arial" w:cs="Arial"/>
          <w:sz w:val="20"/>
          <w:szCs w:val="20"/>
        </w:rPr>
        <w:t>5.2.1. Promjena ekspresije proteina povezanih s inzulinskom signalizacijom u DMNX mjesec</w:t>
      </w:r>
    </w:p>
    <w:p w14:paraId="3AA6784E" w14:textId="3B193C82" w:rsidR="002926CB" w:rsidRPr="002926CB" w:rsidRDefault="002926CB" w:rsidP="002926CB">
      <w:pPr>
        <w:rPr>
          <w:rFonts w:ascii="Arial" w:hAnsi="Arial" w:cs="Arial"/>
          <w:sz w:val="20"/>
          <w:szCs w:val="20"/>
        </w:rPr>
      </w:pPr>
      <w:r w:rsidRPr="002926CB">
        <w:rPr>
          <w:rFonts w:ascii="Arial" w:hAnsi="Arial" w:cs="Arial"/>
          <w:sz w:val="20"/>
          <w:szCs w:val="20"/>
        </w:rPr>
        <w:t xml:space="preserve">dana nakon STZ-icv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12</w:t>
      </w:r>
    </w:p>
    <w:p w14:paraId="1F62149E" w14:textId="77777777" w:rsidR="002926CB" w:rsidRPr="002926CB" w:rsidRDefault="002926CB" w:rsidP="002926CB">
      <w:pPr>
        <w:rPr>
          <w:rFonts w:ascii="Arial" w:hAnsi="Arial" w:cs="Arial"/>
          <w:sz w:val="20"/>
          <w:szCs w:val="20"/>
        </w:rPr>
      </w:pPr>
      <w:r w:rsidRPr="002926CB">
        <w:rPr>
          <w:rFonts w:ascii="Arial" w:hAnsi="Arial" w:cs="Arial"/>
          <w:sz w:val="20"/>
          <w:szCs w:val="20"/>
        </w:rPr>
        <w:t>5.2.2. Promjena ekspresije proteina povezanih s regulacijom metabolizma u DMNX mjesec dana</w:t>
      </w:r>
    </w:p>
    <w:p w14:paraId="10BDA16E" w14:textId="76296055" w:rsidR="002926CB" w:rsidRPr="002926CB" w:rsidRDefault="002926CB" w:rsidP="002926CB">
      <w:pPr>
        <w:rPr>
          <w:rFonts w:ascii="Arial" w:hAnsi="Arial" w:cs="Arial"/>
          <w:sz w:val="20"/>
          <w:szCs w:val="20"/>
        </w:rPr>
      </w:pPr>
      <w:r w:rsidRPr="002926CB">
        <w:rPr>
          <w:rFonts w:ascii="Arial" w:hAnsi="Arial" w:cs="Arial"/>
          <w:sz w:val="20"/>
          <w:szCs w:val="20"/>
        </w:rPr>
        <w:t xml:space="preserve">nakon STZ-icv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13</w:t>
      </w:r>
    </w:p>
    <w:p w14:paraId="55E6BCFF" w14:textId="58351E53" w:rsidR="002926CB" w:rsidRPr="002926CB" w:rsidRDefault="002926CB" w:rsidP="002926CB">
      <w:pPr>
        <w:rPr>
          <w:rFonts w:ascii="Arial" w:hAnsi="Arial" w:cs="Arial"/>
          <w:sz w:val="20"/>
          <w:szCs w:val="20"/>
        </w:rPr>
      </w:pPr>
      <w:r w:rsidRPr="002926CB">
        <w:rPr>
          <w:rFonts w:ascii="Arial" w:hAnsi="Arial" w:cs="Arial"/>
          <w:sz w:val="20"/>
          <w:szCs w:val="20"/>
        </w:rPr>
        <w:t xml:space="preserve">5.2.3. Promjena ekspresije transportera za glukozu u DMNX mjesec dana nakon STZ-icv </w:t>
      </w:r>
      <w:r>
        <w:rPr>
          <w:rFonts w:ascii="Arial" w:hAnsi="Arial" w:cs="Arial"/>
          <w:sz w:val="20"/>
          <w:szCs w:val="20"/>
        </w:rPr>
        <w:tab/>
      </w:r>
      <w:r w:rsidRPr="002926CB">
        <w:rPr>
          <w:rFonts w:ascii="Arial" w:hAnsi="Arial" w:cs="Arial"/>
          <w:sz w:val="20"/>
          <w:szCs w:val="20"/>
        </w:rPr>
        <w:t>15</w:t>
      </w:r>
    </w:p>
    <w:p w14:paraId="0FED59C8" w14:textId="77777777" w:rsidR="002926CB" w:rsidRPr="002926CB" w:rsidRDefault="002926CB" w:rsidP="002926CB">
      <w:pPr>
        <w:rPr>
          <w:rFonts w:ascii="Arial" w:hAnsi="Arial" w:cs="Arial"/>
          <w:sz w:val="20"/>
          <w:szCs w:val="20"/>
        </w:rPr>
      </w:pPr>
      <w:r w:rsidRPr="002926CB">
        <w:rPr>
          <w:rFonts w:ascii="Arial" w:hAnsi="Arial" w:cs="Arial"/>
          <w:sz w:val="20"/>
          <w:szCs w:val="20"/>
        </w:rPr>
        <w:t>5.3. Parametri antioksidativnog kapaciteta i oksidativnog stresa u moždanom deblu štakora</w:t>
      </w:r>
    </w:p>
    <w:p w14:paraId="1F9A0AA6" w14:textId="44D09CFA" w:rsidR="002926CB" w:rsidRPr="002926CB" w:rsidRDefault="002926CB" w:rsidP="002926CB">
      <w:pPr>
        <w:rPr>
          <w:rFonts w:ascii="Arial" w:hAnsi="Arial" w:cs="Arial"/>
          <w:sz w:val="20"/>
          <w:szCs w:val="20"/>
        </w:rPr>
      </w:pPr>
      <w:r w:rsidRPr="002926CB">
        <w:rPr>
          <w:rFonts w:ascii="Arial" w:hAnsi="Arial" w:cs="Arial"/>
          <w:sz w:val="20"/>
          <w:szCs w:val="20"/>
        </w:rPr>
        <w:t xml:space="preserve">mjesec dana nakon primjene STZ-icv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15</w:t>
      </w:r>
    </w:p>
    <w:p w14:paraId="73975699" w14:textId="77777777" w:rsidR="002926CB" w:rsidRPr="002926CB" w:rsidRDefault="002926CB" w:rsidP="002926CB">
      <w:pPr>
        <w:rPr>
          <w:rFonts w:ascii="Arial" w:hAnsi="Arial" w:cs="Arial"/>
          <w:sz w:val="20"/>
          <w:szCs w:val="20"/>
        </w:rPr>
      </w:pPr>
    </w:p>
    <w:p w14:paraId="0FE212B0" w14:textId="77777777" w:rsidR="002926CB" w:rsidRPr="002926CB" w:rsidRDefault="002926CB" w:rsidP="002926CB">
      <w:pPr>
        <w:rPr>
          <w:rFonts w:ascii="Arial" w:hAnsi="Arial" w:cs="Arial"/>
          <w:sz w:val="20"/>
          <w:szCs w:val="20"/>
        </w:rPr>
      </w:pPr>
      <w:r w:rsidRPr="002926CB">
        <w:rPr>
          <w:rFonts w:ascii="Arial" w:hAnsi="Arial" w:cs="Arial"/>
          <w:sz w:val="20"/>
          <w:szCs w:val="20"/>
        </w:rPr>
        <w:t>5.4. Analiza metaboličkog odgovora DMNX kontrolnih i STZ-icv tretiranih životinja u modelu</w:t>
      </w:r>
    </w:p>
    <w:p w14:paraId="6EF39B03" w14:textId="12F18906" w:rsidR="002926CB" w:rsidRPr="002926CB" w:rsidRDefault="002926CB" w:rsidP="002926CB">
      <w:pPr>
        <w:rPr>
          <w:rFonts w:ascii="Arial" w:hAnsi="Arial" w:cs="Arial"/>
          <w:sz w:val="20"/>
          <w:szCs w:val="20"/>
        </w:rPr>
      </w:pPr>
      <w:r w:rsidRPr="002926CB">
        <w:rPr>
          <w:rFonts w:ascii="Arial" w:hAnsi="Arial" w:cs="Arial"/>
          <w:sz w:val="20"/>
          <w:szCs w:val="20"/>
        </w:rPr>
        <w:t xml:space="preserve">akutne primjene peroralne i intraperitonealne D-galaktoze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16</w:t>
      </w:r>
    </w:p>
    <w:p w14:paraId="128EC152" w14:textId="77777777" w:rsidR="002926CB" w:rsidRPr="002926CB" w:rsidRDefault="002926CB" w:rsidP="002926CB">
      <w:pPr>
        <w:rPr>
          <w:rFonts w:ascii="Arial" w:hAnsi="Arial" w:cs="Arial"/>
          <w:sz w:val="20"/>
          <w:szCs w:val="20"/>
        </w:rPr>
      </w:pPr>
      <w:r w:rsidRPr="002926CB">
        <w:rPr>
          <w:rFonts w:ascii="Arial" w:hAnsi="Arial" w:cs="Arial"/>
          <w:sz w:val="20"/>
          <w:szCs w:val="20"/>
        </w:rPr>
        <w:t>5.5. Western blot analiza promjene ekspresije metaboličkih proteina u moždanom deblu</w:t>
      </w:r>
    </w:p>
    <w:p w14:paraId="099B2AC1" w14:textId="0F7C0889" w:rsidR="002926CB" w:rsidRPr="002926CB" w:rsidRDefault="002926CB" w:rsidP="002926CB">
      <w:pPr>
        <w:rPr>
          <w:rFonts w:ascii="Arial" w:hAnsi="Arial" w:cs="Arial"/>
          <w:sz w:val="20"/>
          <w:szCs w:val="20"/>
        </w:rPr>
      </w:pPr>
      <w:r w:rsidRPr="002926CB">
        <w:rPr>
          <w:rFonts w:ascii="Arial" w:hAnsi="Arial" w:cs="Arial"/>
          <w:sz w:val="20"/>
          <w:szCs w:val="20"/>
        </w:rPr>
        <w:lastRenderedPageBreak/>
        <w:t xml:space="preserve">štakora mjesec dana nakon primjene STZ-icv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19</w:t>
      </w:r>
    </w:p>
    <w:p w14:paraId="20C3D7ED" w14:textId="77777777" w:rsidR="002926CB" w:rsidRPr="002926CB" w:rsidRDefault="002926CB" w:rsidP="002926CB">
      <w:pPr>
        <w:rPr>
          <w:rFonts w:ascii="Arial" w:hAnsi="Arial" w:cs="Arial"/>
          <w:sz w:val="20"/>
          <w:szCs w:val="20"/>
        </w:rPr>
      </w:pPr>
      <w:r w:rsidRPr="002926CB">
        <w:rPr>
          <w:rFonts w:ascii="Arial" w:hAnsi="Arial" w:cs="Arial"/>
          <w:sz w:val="20"/>
          <w:szCs w:val="20"/>
        </w:rPr>
        <w:t>5.6. Analiza učinka akutne peroralne i intraperitonealne D-galaktoze na transportere za</w:t>
      </w:r>
    </w:p>
    <w:p w14:paraId="143F6037" w14:textId="5D01CEEB" w:rsidR="002926CB" w:rsidRPr="002926CB" w:rsidRDefault="002926CB" w:rsidP="002926CB">
      <w:pPr>
        <w:rPr>
          <w:rFonts w:ascii="Arial" w:hAnsi="Arial" w:cs="Arial"/>
          <w:sz w:val="20"/>
          <w:szCs w:val="20"/>
        </w:rPr>
      </w:pPr>
      <w:r w:rsidRPr="002926CB">
        <w:rPr>
          <w:rFonts w:ascii="Arial" w:hAnsi="Arial" w:cs="Arial"/>
          <w:sz w:val="20"/>
          <w:szCs w:val="20"/>
        </w:rPr>
        <w:t xml:space="preserve">glukozu u DMNX kontrolnih i STZ-icv tretiranih životinja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21</w:t>
      </w:r>
    </w:p>
    <w:p w14:paraId="5E5ACB89" w14:textId="77777777" w:rsidR="002926CB" w:rsidRPr="002926CB" w:rsidRDefault="002926CB" w:rsidP="002926CB">
      <w:pPr>
        <w:rPr>
          <w:rFonts w:ascii="Arial" w:hAnsi="Arial" w:cs="Arial"/>
          <w:sz w:val="20"/>
          <w:szCs w:val="20"/>
        </w:rPr>
      </w:pPr>
      <w:r w:rsidRPr="002926CB">
        <w:rPr>
          <w:rFonts w:ascii="Arial" w:hAnsi="Arial" w:cs="Arial"/>
          <w:sz w:val="20"/>
          <w:szCs w:val="20"/>
        </w:rPr>
        <w:t>5.7. Analiza parametara oksidativnog stresa u modelu akutne primjene peroralne i</w:t>
      </w:r>
    </w:p>
    <w:p w14:paraId="5C3F3164" w14:textId="22198433" w:rsidR="002926CB" w:rsidRPr="002926CB" w:rsidRDefault="002926CB" w:rsidP="002926CB">
      <w:pPr>
        <w:rPr>
          <w:rFonts w:ascii="Arial" w:hAnsi="Arial" w:cs="Arial"/>
          <w:sz w:val="20"/>
          <w:szCs w:val="20"/>
        </w:rPr>
      </w:pPr>
      <w:r w:rsidRPr="002926CB">
        <w:rPr>
          <w:rFonts w:ascii="Arial" w:hAnsi="Arial" w:cs="Arial"/>
          <w:sz w:val="20"/>
          <w:szCs w:val="20"/>
        </w:rPr>
        <w:t xml:space="preserve">intraperitonealne galaktoze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23</w:t>
      </w:r>
    </w:p>
    <w:p w14:paraId="7F56B55F" w14:textId="5F4C868F" w:rsidR="002926CB" w:rsidRPr="002926CB" w:rsidRDefault="002926CB" w:rsidP="002926CB">
      <w:pPr>
        <w:rPr>
          <w:rFonts w:ascii="Arial" w:hAnsi="Arial" w:cs="Arial"/>
          <w:sz w:val="20"/>
          <w:szCs w:val="20"/>
        </w:rPr>
      </w:pPr>
      <w:r w:rsidRPr="002926CB">
        <w:rPr>
          <w:rFonts w:ascii="Arial" w:hAnsi="Arial" w:cs="Arial"/>
          <w:sz w:val="20"/>
          <w:szCs w:val="20"/>
        </w:rPr>
        <w:t xml:space="preserve">6. RASPRAVA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24</w:t>
      </w:r>
    </w:p>
    <w:p w14:paraId="3C78FADE" w14:textId="2837638D" w:rsidR="002926CB" w:rsidRPr="002926CB" w:rsidRDefault="002926CB" w:rsidP="002926CB">
      <w:pPr>
        <w:rPr>
          <w:rFonts w:ascii="Arial" w:hAnsi="Arial" w:cs="Arial"/>
          <w:sz w:val="20"/>
          <w:szCs w:val="20"/>
        </w:rPr>
      </w:pPr>
      <w:r w:rsidRPr="002926CB">
        <w:rPr>
          <w:rFonts w:ascii="Arial" w:hAnsi="Arial" w:cs="Arial"/>
          <w:sz w:val="20"/>
          <w:szCs w:val="20"/>
        </w:rPr>
        <w:t xml:space="preserve">7. ZAKLJUČCI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25</w:t>
      </w:r>
    </w:p>
    <w:p w14:paraId="083CEC25" w14:textId="017FE910" w:rsidR="002926CB" w:rsidRPr="002926CB" w:rsidRDefault="002926CB" w:rsidP="002926CB">
      <w:pPr>
        <w:rPr>
          <w:rFonts w:ascii="Arial" w:hAnsi="Arial" w:cs="Arial"/>
          <w:sz w:val="20"/>
          <w:szCs w:val="20"/>
        </w:rPr>
      </w:pPr>
      <w:r w:rsidRPr="002926CB">
        <w:rPr>
          <w:rFonts w:ascii="Arial" w:hAnsi="Arial" w:cs="Arial"/>
          <w:sz w:val="20"/>
          <w:szCs w:val="20"/>
        </w:rPr>
        <w:t xml:space="preserve">8. ZAHVALE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26</w:t>
      </w:r>
    </w:p>
    <w:p w14:paraId="243C0496" w14:textId="077C5109" w:rsidR="002926CB" w:rsidRPr="002926CB" w:rsidRDefault="002926CB" w:rsidP="002926CB">
      <w:pPr>
        <w:rPr>
          <w:rFonts w:ascii="Arial" w:hAnsi="Arial" w:cs="Arial"/>
          <w:sz w:val="20"/>
          <w:szCs w:val="20"/>
        </w:rPr>
      </w:pPr>
      <w:r w:rsidRPr="002926CB">
        <w:rPr>
          <w:rFonts w:ascii="Arial" w:hAnsi="Arial" w:cs="Arial"/>
          <w:sz w:val="20"/>
          <w:szCs w:val="20"/>
        </w:rPr>
        <w:t xml:space="preserve">9. POPIS LITERATURE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26</w:t>
      </w:r>
    </w:p>
    <w:p w14:paraId="2D88AA5D" w14:textId="2F4EB71D" w:rsidR="002926CB" w:rsidRPr="002926CB" w:rsidRDefault="002926CB" w:rsidP="002926CB">
      <w:pPr>
        <w:rPr>
          <w:rFonts w:ascii="Arial" w:hAnsi="Arial" w:cs="Arial"/>
          <w:sz w:val="20"/>
          <w:szCs w:val="20"/>
        </w:rPr>
      </w:pPr>
      <w:r w:rsidRPr="002926CB">
        <w:rPr>
          <w:rFonts w:ascii="Arial" w:hAnsi="Arial" w:cs="Arial"/>
          <w:sz w:val="20"/>
          <w:szCs w:val="20"/>
        </w:rPr>
        <w:t xml:space="preserve">10. SAŽETAK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926CB">
        <w:rPr>
          <w:rFonts w:ascii="Arial" w:hAnsi="Arial" w:cs="Arial"/>
          <w:sz w:val="20"/>
          <w:szCs w:val="20"/>
        </w:rPr>
        <w:t>31</w:t>
      </w:r>
    </w:p>
    <w:p w14:paraId="78FC8398" w14:textId="4CF9E874" w:rsidR="00337D38" w:rsidRDefault="002926CB" w:rsidP="002926CB">
      <w:pPr>
        <w:rPr>
          <w:rFonts w:ascii="Arial" w:hAnsi="Arial" w:cs="Arial"/>
          <w:sz w:val="20"/>
          <w:szCs w:val="20"/>
        </w:rPr>
      </w:pPr>
      <w:r w:rsidRPr="002926CB">
        <w:rPr>
          <w:rFonts w:ascii="Arial" w:hAnsi="Arial" w:cs="Arial"/>
          <w:sz w:val="20"/>
          <w:szCs w:val="20"/>
        </w:rPr>
        <w:t xml:space="preserve">11. SUMMARY </w:t>
      </w:r>
      <w:r w:rsidR="00337D38">
        <w:rPr>
          <w:rFonts w:ascii="Arial" w:hAnsi="Arial" w:cs="Arial"/>
          <w:sz w:val="20"/>
          <w:szCs w:val="20"/>
        </w:rPr>
        <w:tab/>
      </w:r>
      <w:r w:rsidR="00337D38">
        <w:rPr>
          <w:rFonts w:ascii="Arial" w:hAnsi="Arial" w:cs="Arial"/>
          <w:sz w:val="20"/>
          <w:szCs w:val="20"/>
        </w:rPr>
        <w:tab/>
      </w:r>
      <w:r w:rsidR="00337D38">
        <w:rPr>
          <w:rFonts w:ascii="Arial" w:hAnsi="Arial" w:cs="Arial"/>
          <w:sz w:val="20"/>
          <w:szCs w:val="20"/>
        </w:rPr>
        <w:tab/>
      </w:r>
      <w:r w:rsidR="00337D38">
        <w:rPr>
          <w:rFonts w:ascii="Arial" w:hAnsi="Arial" w:cs="Arial"/>
          <w:sz w:val="20"/>
          <w:szCs w:val="20"/>
        </w:rPr>
        <w:tab/>
      </w:r>
      <w:r w:rsidR="00337D38">
        <w:rPr>
          <w:rFonts w:ascii="Arial" w:hAnsi="Arial" w:cs="Arial"/>
          <w:sz w:val="20"/>
          <w:szCs w:val="20"/>
        </w:rPr>
        <w:tab/>
      </w:r>
      <w:r>
        <w:rPr>
          <w:rFonts w:ascii="Arial" w:hAnsi="Arial" w:cs="Arial"/>
          <w:sz w:val="20"/>
          <w:szCs w:val="20"/>
        </w:rPr>
        <w:tab/>
      </w:r>
      <w:r w:rsidR="00337D38">
        <w:rPr>
          <w:rFonts w:ascii="Arial" w:hAnsi="Arial" w:cs="Arial"/>
          <w:sz w:val="20"/>
          <w:szCs w:val="20"/>
        </w:rPr>
        <w:tab/>
      </w:r>
      <w:r w:rsidR="00337D38">
        <w:rPr>
          <w:rFonts w:ascii="Arial" w:hAnsi="Arial" w:cs="Arial"/>
          <w:sz w:val="20"/>
          <w:szCs w:val="20"/>
        </w:rPr>
        <w:tab/>
      </w:r>
      <w:r w:rsidR="00337D38">
        <w:rPr>
          <w:rFonts w:ascii="Arial" w:hAnsi="Arial" w:cs="Arial"/>
          <w:sz w:val="20"/>
          <w:szCs w:val="20"/>
        </w:rPr>
        <w:tab/>
      </w:r>
      <w:r w:rsidR="00337D38">
        <w:rPr>
          <w:rFonts w:ascii="Arial" w:hAnsi="Arial" w:cs="Arial"/>
          <w:sz w:val="20"/>
          <w:szCs w:val="20"/>
        </w:rPr>
        <w:tab/>
      </w:r>
      <w:r w:rsidR="00337D38">
        <w:rPr>
          <w:rFonts w:ascii="Arial" w:hAnsi="Arial" w:cs="Arial"/>
          <w:sz w:val="20"/>
          <w:szCs w:val="20"/>
        </w:rPr>
        <w:tab/>
        <w:t>32</w:t>
      </w:r>
    </w:p>
    <w:p w14:paraId="2130A302" w14:textId="31475057" w:rsidR="004103E8" w:rsidRDefault="00337D38" w:rsidP="002926CB">
      <w:pPr>
        <w:rPr>
          <w:rFonts w:ascii="Arial" w:hAnsi="Arial" w:cs="Arial"/>
          <w:sz w:val="20"/>
          <w:szCs w:val="20"/>
        </w:rPr>
      </w:pPr>
      <w:r>
        <w:rPr>
          <w:rFonts w:ascii="Arial" w:hAnsi="Arial" w:cs="Arial"/>
          <w:sz w:val="20"/>
          <w:szCs w:val="20"/>
        </w:rPr>
        <w:t>12. ŽIVOTOPIS</w:t>
      </w:r>
      <w:r w:rsidR="002926CB">
        <w:rPr>
          <w:rFonts w:ascii="Arial" w:hAnsi="Arial" w:cs="Arial"/>
          <w:sz w:val="20"/>
          <w:szCs w:val="20"/>
        </w:rPr>
        <w:tab/>
      </w:r>
      <w:r w:rsidR="002926CB">
        <w:rPr>
          <w:rFonts w:ascii="Arial" w:hAnsi="Arial" w:cs="Arial"/>
          <w:sz w:val="20"/>
          <w:szCs w:val="20"/>
        </w:rPr>
        <w:tab/>
      </w:r>
      <w:r w:rsidR="002926CB">
        <w:rPr>
          <w:rFonts w:ascii="Arial" w:hAnsi="Arial" w:cs="Arial"/>
          <w:sz w:val="20"/>
          <w:szCs w:val="20"/>
        </w:rPr>
        <w:tab/>
      </w:r>
      <w:r w:rsidR="002926CB">
        <w:rPr>
          <w:rFonts w:ascii="Arial" w:hAnsi="Arial" w:cs="Arial"/>
          <w:sz w:val="20"/>
          <w:szCs w:val="20"/>
        </w:rPr>
        <w:tab/>
      </w:r>
      <w:r w:rsidR="002926CB">
        <w:rPr>
          <w:rFonts w:ascii="Arial" w:hAnsi="Arial" w:cs="Arial"/>
          <w:sz w:val="20"/>
          <w:szCs w:val="20"/>
        </w:rPr>
        <w:tab/>
      </w:r>
      <w:r w:rsidR="002926CB">
        <w:rPr>
          <w:rFonts w:ascii="Arial" w:hAnsi="Arial" w:cs="Arial"/>
          <w:sz w:val="20"/>
          <w:szCs w:val="20"/>
        </w:rPr>
        <w:tab/>
      </w:r>
      <w:r w:rsidR="002926CB">
        <w:rPr>
          <w:rFonts w:ascii="Arial" w:hAnsi="Arial" w:cs="Arial"/>
          <w:sz w:val="20"/>
          <w:szCs w:val="20"/>
        </w:rPr>
        <w:tab/>
      </w:r>
      <w:r w:rsidR="002926CB">
        <w:rPr>
          <w:rFonts w:ascii="Arial" w:hAnsi="Arial" w:cs="Arial"/>
          <w:sz w:val="20"/>
          <w:szCs w:val="20"/>
        </w:rPr>
        <w:tab/>
      </w:r>
      <w:r w:rsidR="002926CB">
        <w:rPr>
          <w:rFonts w:ascii="Arial" w:hAnsi="Arial" w:cs="Arial"/>
          <w:sz w:val="20"/>
          <w:szCs w:val="20"/>
        </w:rPr>
        <w:tab/>
      </w:r>
      <w:r w:rsidR="002926CB">
        <w:rPr>
          <w:rFonts w:ascii="Arial" w:hAnsi="Arial" w:cs="Arial"/>
          <w:sz w:val="20"/>
          <w:szCs w:val="20"/>
        </w:rPr>
        <w:tab/>
      </w:r>
      <w:r>
        <w:rPr>
          <w:rFonts w:ascii="Arial" w:hAnsi="Arial" w:cs="Arial"/>
          <w:sz w:val="20"/>
          <w:szCs w:val="20"/>
        </w:rPr>
        <w:tab/>
        <w:t>33</w:t>
      </w:r>
    </w:p>
    <w:p w14:paraId="0DD1AE2E" w14:textId="77777777" w:rsidR="0055087A" w:rsidRPr="002926CB" w:rsidRDefault="0055087A" w:rsidP="002926CB">
      <w:pPr>
        <w:rPr>
          <w:rFonts w:ascii="Arial" w:eastAsiaTheme="majorEastAsia" w:hAnsi="Arial" w:cs="Arial"/>
          <w:b/>
          <w:sz w:val="24"/>
          <w:szCs w:val="24"/>
        </w:rPr>
        <w:sectPr w:rsidR="0055087A" w:rsidRPr="002926CB" w:rsidSect="004103E8">
          <w:pgSz w:w="11906" w:h="16838"/>
          <w:pgMar w:top="1417" w:right="1417" w:bottom="1417" w:left="1417" w:header="708" w:footer="708" w:gutter="0"/>
          <w:pgNumType w:start="1"/>
          <w:cols w:space="708"/>
          <w:docGrid w:linePitch="360"/>
        </w:sectPr>
      </w:pPr>
    </w:p>
    <w:p w14:paraId="3552C0AB" w14:textId="7AC4A64C" w:rsidR="00E50C2E" w:rsidRPr="00E50C2E" w:rsidRDefault="00E50C2E" w:rsidP="00E50C2E">
      <w:pPr>
        <w:pStyle w:val="Heading1"/>
        <w:rPr>
          <w:rFonts w:ascii="Arial" w:hAnsi="Arial" w:cs="Arial"/>
          <w:b/>
          <w:color w:val="auto"/>
          <w:sz w:val="24"/>
          <w:szCs w:val="24"/>
        </w:rPr>
      </w:pPr>
    </w:p>
    <w:p w14:paraId="330B215B" w14:textId="4BEF45BA" w:rsidR="006819A6" w:rsidRPr="00D87EDE" w:rsidRDefault="00834D9B" w:rsidP="00C62D59">
      <w:pPr>
        <w:pStyle w:val="Heading1"/>
        <w:numPr>
          <w:ilvl w:val="0"/>
          <w:numId w:val="8"/>
        </w:numPr>
        <w:rPr>
          <w:rFonts w:ascii="Arial" w:hAnsi="Arial" w:cs="Arial"/>
          <w:b/>
          <w:color w:val="auto"/>
          <w:sz w:val="24"/>
          <w:szCs w:val="24"/>
        </w:rPr>
      </w:pPr>
      <w:r w:rsidRPr="00D87EDE">
        <w:rPr>
          <w:rFonts w:ascii="Arial" w:hAnsi="Arial" w:cs="Arial"/>
          <w:b/>
          <w:color w:val="auto"/>
          <w:sz w:val="24"/>
          <w:szCs w:val="24"/>
        </w:rPr>
        <w:t>UVO</w:t>
      </w:r>
      <w:r w:rsidR="006819A6" w:rsidRPr="00D87EDE">
        <w:rPr>
          <w:rFonts w:ascii="Arial" w:hAnsi="Arial" w:cs="Arial"/>
          <w:b/>
          <w:color w:val="auto"/>
          <w:sz w:val="24"/>
          <w:szCs w:val="24"/>
        </w:rPr>
        <w:t>D</w:t>
      </w:r>
      <w:bookmarkEnd w:id="0"/>
    </w:p>
    <w:p w14:paraId="38C86489" w14:textId="681E9498" w:rsidR="00773610" w:rsidRPr="008E12F1" w:rsidRDefault="008E12F1" w:rsidP="00773610">
      <w:pPr>
        <w:pStyle w:val="ListParagraph"/>
        <w:numPr>
          <w:ilvl w:val="1"/>
          <w:numId w:val="8"/>
        </w:numPr>
        <w:rPr>
          <w:rFonts w:ascii="Arial" w:hAnsi="Arial" w:cs="Arial"/>
          <w:b/>
        </w:rPr>
      </w:pPr>
      <w:r>
        <w:rPr>
          <w:rFonts w:ascii="Arial" w:hAnsi="Arial" w:cs="Arial"/>
          <w:b/>
        </w:rPr>
        <w:t xml:space="preserve"> </w:t>
      </w:r>
      <w:r w:rsidR="00773610" w:rsidRPr="008E12F1">
        <w:rPr>
          <w:rFonts w:ascii="Arial" w:hAnsi="Arial" w:cs="Arial"/>
          <w:b/>
        </w:rPr>
        <w:t>Alzheimerova bolest</w:t>
      </w:r>
    </w:p>
    <w:p w14:paraId="5E96F943" w14:textId="24551811" w:rsidR="00773610" w:rsidRPr="00D46669" w:rsidRDefault="00C62D59" w:rsidP="00773610">
      <w:pPr>
        <w:spacing w:line="360" w:lineRule="auto"/>
        <w:jc w:val="both"/>
        <w:outlineLvl w:val="1"/>
        <w:rPr>
          <w:rFonts w:ascii="Arial" w:hAnsi="Arial" w:cs="Arial"/>
          <w:sz w:val="20"/>
          <w:szCs w:val="20"/>
        </w:rPr>
      </w:pPr>
      <w:r w:rsidRPr="00773610">
        <w:rPr>
          <w:rFonts w:ascii="Arial" w:hAnsi="Arial" w:cs="Arial"/>
          <w:b/>
          <w:sz w:val="28"/>
          <w:szCs w:val="28"/>
        </w:rPr>
        <w:br/>
      </w:r>
      <w:bookmarkStart w:id="2" w:name="_Toc513114061"/>
      <w:r w:rsidR="00084FCD">
        <w:rPr>
          <w:rFonts w:ascii="Arial" w:hAnsi="Arial" w:cs="Arial"/>
          <w:sz w:val="20"/>
          <w:szCs w:val="20"/>
        </w:rPr>
        <w:t>Alzheimerova bolest (eng</w:t>
      </w:r>
      <w:r w:rsidRPr="00D46669">
        <w:rPr>
          <w:rFonts w:ascii="Arial" w:hAnsi="Arial" w:cs="Arial"/>
          <w:sz w:val="20"/>
          <w:szCs w:val="20"/>
        </w:rPr>
        <w:t>. Alzheimer's disease;</w:t>
      </w:r>
      <w:r w:rsidR="00EF36E4" w:rsidRPr="00D46669">
        <w:rPr>
          <w:rFonts w:ascii="Arial" w:hAnsi="Arial" w:cs="Arial"/>
          <w:sz w:val="20"/>
          <w:szCs w:val="20"/>
        </w:rPr>
        <w:t xml:space="preserve"> </w:t>
      </w:r>
      <w:r w:rsidRPr="00D46669">
        <w:rPr>
          <w:rFonts w:ascii="Arial" w:hAnsi="Arial" w:cs="Arial"/>
          <w:sz w:val="20"/>
          <w:szCs w:val="20"/>
        </w:rPr>
        <w:t xml:space="preserve">AD) neurodegenerativna je bolest okarakterizirana progresivnim propadanjem kognitivnih funkcija i neuropsihijatrijskim simptomima. Smatra se najčešćim uzrokom demencije, a zbog kontinuiranog rasta broja oboljelih i nedovoljno učinkovite dijagnostike i liječenja predstavlja iznimno značajan biomedicinski i socioekonomski teret. Epidemiološki podaci pokazuju da je broj oboljelih od AD u svijetu 2011. godine iznosio oko 24 milijuna </w:t>
      </w:r>
      <w:r w:rsidRPr="00D46669">
        <w:rPr>
          <w:rFonts w:ascii="Arial" w:hAnsi="Arial" w:cs="Arial"/>
          <w:sz w:val="20"/>
          <w:szCs w:val="20"/>
          <w:lang w:val="en-US"/>
        </w:rPr>
        <w:fldChar w:fldCharType="begin" w:fldLock="1"/>
      </w:r>
      <w:r w:rsidRPr="00D46669">
        <w:rPr>
          <w:rFonts w:ascii="Arial" w:hAnsi="Arial" w:cs="Arial"/>
          <w:sz w:val="20"/>
          <w:szCs w:val="20"/>
          <w:lang w:val="en-US"/>
        </w:rPr>
        <w:instrText>ADDIN CSL_CITATION { "citationItems" : [ { "id" : "ITEM-1", "itemData" : { "DOI" : "10.1016/S0140-6736(10)61349-9", "ISBN" : "0140-6736", "ISSN" : "01406736", "PMID" : "21371747", "abstract" : "An estimated 24 million people worldwide have dementia, the majority of whom are thought to have Alzheimer's disease. Thus, Alzheimer's disease represents a major public health concern and has been identified as a research priority. Although there are licensed treatments that can alleviate symptoms of Alzheimer's disease, there is a pressing need to improve our understanding of pathogenesis to enable development of disease-modifying treatments. Methods for improving diagnosis are also moving forward, but a better consensus is needed for development of a panel of biological and neuroimaging biomarkers that support clinical diagnosis. There is now strong evidence of potential risk and protective factors for Alzheimer's disease, dementia, and cognitive decline, but further work is needed to understand these better and to establish whether interventions can substantially lower these risks. In this Seminar, we provide an overview of recent evidence regarding the epidemiology, pathogenesis, diagnosis, and treatment of Alzheimer's disease, and discuss potential ways to reduce the risk of developing the disease. \u00a9 2011 Elsevier Ltd.", "author" : [ { "dropping-particle" : "", "family" : "Ballard", "given" : "Clive", "non-dropping-particle" : "", "parse-names" : false, "suffix" : "" }, { "dropping-particle" : "", "family" : "Gauthier", "given" : "Serge", "non-dropping-particle" : "", "parse-names" : false, "suffix" : "" }, { "dropping-particle" : "", "family" : "Corbett", "given" : "Anne", "non-dropping-particle" : "", "parse-names" : false, "suffix" : "" }, { "dropping-particle" : "", "family" : "Brayne", "given" : "Carol", "non-dropping-particle" : "", "parse-names" : false, "suffix" : "" }, { "dropping-particle" : "", "family" : "Aarsland", "given" : "Dag", "non-dropping-particle" : "", "parse-names" : false, "suffix" : "" }, { "dropping-particle" : "", "family" : "Jones", "given" : "Emma", "non-dropping-particle" : "", "parse-names" : false, "suffix" : "" } ], "container-title" : "The Lancet", "id" : "ITEM-1", "issue" : "9770", "issued" : { "date-parts" : [ [ "2011" ] ] }, "page" : "1019-1031", "publisher" : "Elsevier Ltd", "title" : "Alzheimer's disease", "type" : "article-journal", "volume" : "377" }, "uris" : [ "http://www.mendeley.com/documents/?uuid=693fe39c-2d32-4529-b32d-0aa2c907c976" ] } ], "mendeley" : { "formattedCitation" : "(Ballard et al., 2011)", "plainTextFormattedCitation" : "(Ballard et al., 2011)", "previouslyFormattedCitation" : "(Ballard et al., 2011)" }, "properties" : {  }, "schema" : "https://github.com/citation-style-language/schema/raw/master/csl-citation.json" }</w:instrText>
      </w:r>
      <w:r w:rsidRPr="00D46669">
        <w:rPr>
          <w:rFonts w:ascii="Arial" w:hAnsi="Arial" w:cs="Arial"/>
          <w:sz w:val="20"/>
          <w:szCs w:val="20"/>
          <w:lang w:val="en-US"/>
        </w:rPr>
        <w:fldChar w:fldCharType="separate"/>
      </w:r>
      <w:r w:rsidRPr="00D46669">
        <w:rPr>
          <w:rFonts w:ascii="Arial" w:hAnsi="Arial" w:cs="Arial"/>
          <w:noProof/>
          <w:sz w:val="20"/>
          <w:szCs w:val="20"/>
          <w:lang w:val="en-US"/>
        </w:rPr>
        <w:t xml:space="preserve">(Ballard </w:t>
      </w:r>
      <w:r w:rsidR="001A3EFA" w:rsidRPr="00D46669">
        <w:rPr>
          <w:rFonts w:ascii="Arial" w:hAnsi="Arial" w:cs="Arial"/>
          <w:noProof/>
          <w:sz w:val="20"/>
          <w:szCs w:val="20"/>
          <w:lang w:val="en-US"/>
        </w:rPr>
        <w:t>i sur</w:t>
      </w:r>
      <w:r w:rsidRPr="00D46669">
        <w:rPr>
          <w:rFonts w:ascii="Arial" w:hAnsi="Arial" w:cs="Arial"/>
          <w:noProof/>
          <w:sz w:val="20"/>
          <w:szCs w:val="20"/>
          <w:lang w:val="en-US"/>
        </w:rPr>
        <w:t>., 2011)</w:t>
      </w:r>
      <w:r w:rsidRPr="00D46669">
        <w:rPr>
          <w:rFonts w:ascii="Arial" w:hAnsi="Arial" w:cs="Arial"/>
          <w:sz w:val="20"/>
          <w:szCs w:val="20"/>
        </w:rPr>
        <w:fldChar w:fldCharType="end"/>
      </w:r>
      <w:r w:rsidRPr="00D46669">
        <w:rPr>
          <w:rFonts w:ascii="Arial" w:hAnsi="Arial" w:cs="Arial"/>
          <w:sz w:val="20"/>
          <w:szCs w:val="20"/>
        </w:rPr>
        <w:t xml:space="preserve">, 2016. godine 40 milijuna, a prema procjenama broj oboljelih 2050. iznositi će čak 131 milijun </w:t>
      </w:r>
      <w:r w:rsidRPr="00D46669">
        <w:rPr>
          <w:rFonts w:ascii="Arial" w:hAnsi="Arial" w:cs="Arial"/>
          <w:sz w:val="20"/>
          <w:szCs w:val="20"/>
          <w:lang w:val="en-US"/>
        </w:rPr>
        <w:fldChar w:fldCharType="begin" w:fldLock="1"/>
      </w:r>
      <w:r w:rsidRPr="00D46669">
        <w:rPr>
          <w:rFonts w:ascii="Arial" w:hAnsi="Arial" w:cs="Arial"/>
          <w:sz w:val="20"/>
          <w:szCs w:val="20"/>
          <w:lang w:val="en-US"/>
        </w:rPr>
        <w:instrText>ADDIN CSL_CITATION { "citationItems" : [ { "id" : "ITEM-1", "itemData" : { "abstract" : "About the report The World Alzheimer Report 2016 reviews research evidence on the elements of healthcare for people living with dementia and suggests how it should be improved and made more efficient. People living with dementia have poor access to appropriate healthcare, even in most high income country settings, where only around 50% of people living with dementia receive a diagnosis. In low and middle income countries, less than 10% of cases are diagnosed. As populations age, due to increasing life expectancy, the number of people with dementia is increasing. We estimate that there were 46.8 million people worldwide living with dementia in 2015 and this number will reach 131.5 million in 2050. It is unlikely that the usual specialist-led approach to dementia care can expand fast enough to keep up with increases in need, and even more unlikely that healthcare coverage can be improved without rebalancing to give primary care a more prominent role.", "author" : [ { "dropping-particle" : "", "family" : "Prince", "given" : "Martin", "non-dropping-particle" : "", "parse-names" : false, "suffix" : "" }, { "dropping-particle" : "", "family" : "Comas-Herrera", "given" : "Adelina", "non-dropping-particle" : "", "parse-names" : false, "suffix" : "" }, { "dropping-particle" : "", "family" : "Knapp", "given" : "Martin", "non-dropping-particle" : "", "parse-names" : false, "suffix" : "" }, { "dropping-particle" : "", "family" : "Guerchet", "given" : "Ma\u00eblenn", "non-dropping-particle" : "", "parse-names" : false, "suffix" : "" }, { "dropping-particle" : "", "family" : "Karagiannidou", "given" : "Maria", "non-dropping-particle" : "", "parse-names" : false, "suffix" : "" } ], "container-title" : "Alzheimer's Disease International (ADI)", "id" : "ITEM-1", "issued" : { "date-parts" : [ [ "2016" ] ] }, "page" : "1-140", "title" : "World Alzheimer Report 2016 Improving healthcare for people living with dementia. Coverage, Quality and costs now and in the future", "type" : "article-journal" }, "uris" : [ "http://www.mendeley.com/documents/?uuid=8ba041a3-30e4-41e0-90e5-2d8beb22bee6" ] } ], "mendeley" : { "formattedCitation" : "(Prince, Comas-Herrera, Knapp, Guerchet, &amp; Karagiannidou, 2016)", "plainTextFormattedCitation" : "(Prince, Comas-Herrera, Knapp, Guerchet, &amp; Karagiannidou, 2016)", "previouslyFormattedCitation" : "(Prince, Comas-Herrera, Knapp, Guerchet, &amp; Karagiannidou, 2016)" }, "properties" : {  }, "schema" : "https://github.com/citation-style-language/schema/raw/master/csl-citation.json" }</w:instrText>
      </w:r>
      <w:r w:rsidRPr="00D46669">
        <w:rPr>
          <w:rFonts w:ascii="Arial" w:hAnsi="Arial" w:cs="Arial"/>
          <w:sz w:val="20"/>
          <w:szCs w:val="20"/>
          <w:lang w:val="en-US"/>
        </w:rPr>
        <w:fldChar w:fldCharType="separate"/>
      </w:r>
      <w:r w:rsidRPr="00D46669">
        <w:rPr>
          <w:rFonts w:ascii="Arial" w:hAnsi="Arial" w:cs="Arial"/>
          <w:noProof/>
          <w:sz w:val="20"/>
          <w:szCs w:val="20"/>
          <w:lang w:val="en-US"/>
        </w:rPr>
        <w:t>(Prince</w:t>
      </w:r>
      <w:r w:rsidR="001A3EFA" w:rsidRPr="00D46669">
        <w:rPr>
          <w:rFonts w:ascii="Arial" w:hAnsi="Arial" w:cs="Arial"/>
          <w:noProof/>
          <w:sz w:val="20"/>
          <w:szCs w:val="20"/>
          <w:lang w:val="en-US"/>
        </w:rPr>
        <w:t xml:space="preserve"> i sur.</w:t>
      </w:r>
      <w:r w:rsidRPr="00D46669">
        <w:rPr>
          <w:rFonts w:ascii="Arial" w:hAnsi="Arial" w:cs="Arial"/>
          <w:noProof/>
          <w:sz w:val="20"/>
          <w:szCs w:val="20"/>
          <w:lang w:val="en-US"/>
        </w:rPr>
        <w:t>, 2016)</w:t>
      </w:r>
      <w:r w:rsidRPr="00D46669">
        <w:rPr>
          <w:rFonts w:ascii="Arial" w:hAnsi="Arial" w:cs="Arial"/>
          <w:sz w:val="20"/>
          <w:szCs w:val="20"/>
        </w:rPr>
        <w:fldChar w:fldCharType="end"/>
      </w:r>
      <w:r w:rsidRPr="00D46669">
        <w:rPr>
          <w:rFonts w:ascii="Arial" w:hAnsi="Arial" w:cs="Arial"/>
          <w:sz w:val="20"/>
          <w:szCs w:val="20"/>
        </w:rPr>
        <w:t>.</w:t>
      </w:r>
      <w:bookmarkEnd w:id="2"/>
      <w:r w:rsidRPr="00D46669">
        <w:rPr>
          <w:rFonts w:ascii="Arial" w:hAnsi="Arial" w:cs="Arial"/>
          <w:sz w:val="20"/>
          <w:szCs w:val="20"/>
        </w:rPr>
        <w:t xml:space="preserve"> </w:t>
      </w:r>
    </w:p>
    <w:p w14:paraId="5345A4E4" w14:textId="3521810C" w:rsidR="00C62D59" w:rsidRPr="00D46669" w:rsidRDefault="008E12F1" w:rsidP="00773610">
      <w:pPr>
        <w:pStyle w:val="ListParagraph"/>
        <w:numPr>
          <w:ilvl w:val="1"/>
          <w:numId w:val="8"/>
        </w:numPr>
        <w:spacing w:line="360" w:lineRule="auto"/>
        <w:outlineLvl w:val="1"/>
        <w:rPr>
          <w:rFonts w:ascii="Arial" w:hAnsi="Arial" w:cs="Arial"/>
          <w:b/>
        </w:rPr>
      </w:pPr>
      <w:r>
        <w:rPr>
          <w:rFonts w:ascii="Arial" w:hAnsi="Arial" w:cs="Arial"/>
          <w:b/>
        </w:rPr>
        <w:t xml:space="preserve"> </w:t>
      </w:r>
      <w:r w:rsidR="00773610" w:rsidRPr="00D46669">
        <w:rPr>
          <w:rFonts w:ascii="Arial" w:hAnsi="Arial" w:cs="Arial"/>
          <w:b/>
        </w:rPr>
        <w:t>Etiopatogeneza Alzheimerove bolesti</w:t>
      </w:r>
      <w:r w:rsidR="00C62D59" w:rsidRPr="00D46669">
        <w:rPr>
          <w:rFonts w:ascii="Arial" w:hAnsi="Arial" w:cs="Arial"/>
          <w:b/>
        </w:rPr>
        <w:br/>
      </w:r>
    </w:p>
    <w:p w14:paraId="65B0B489" w14:textId="1EDC8C8D" w:rsidR="004709B7" w:rsidRDefault="00C62D59" w:rsidP="00773610">
      <w:pPr>
        <w:spacing w:line="360" w:lineRule="auto"/>
        <w:jc w:val="both"/>
        <w:outlineLvl w:val="1"/>
        <w:rPr>
          <w:rFonts w:ascii="Arial" w:hAnsi="Arial" w:cs="Arial"/>
          <w:sz w:val="20"/>
          <w:szCs w:val="20"/>
          <w:lang w:val="en-US"/>
        </w:rPr>
      </w:pPr>
      <w:bookmarkStart w:id="3" w:name="_Toc513114063"/>
      <w:r w:rsidRPr="00D46669">
        <w:rPr>
          <w:rFonts w:ascii="Arial" w:hAnsi="Arial" w:cs="Arial"/>
          <w:sz w:val="20"/>
          <w:szCs w:val="20"/>
        </w:rPr>
        <w:t xml:space="preserve">Uzrok Alzheimerove bolesti nije do kraja razjašnjen osim u 1 - 5% bolesnika s dijagnozom AD koji imaju obiteljski oblik bolesti (eng. familial Alzheimer's disease; fAD). Ovaj rijetki oblik bolesti uzrokovan je mutacijom ili duplikacijom u genu za protein amiloidnog prekursora (eng. amyloid precursor protein; APP) ili mutacijama gena za presenilin 1 (PSEN1) ili presenilin 2 (PSEN2). Ostalih 95 – 99% pacijenata ima sporadični oblik bolesti (eng. sporadic Alzheimer's disease; sAD) nerazjašnjene patofiziološke pozadine obilježene kompleksnom interakcijom brojnih genetskih i okolišnih faktora </w:t>
      </w:r>
      <w:r w:rsidRPr="00D46669">
        <w:rPr>
          <w:rFonts w:ascii="Arial" w:hAnsi="Arial" w:cs="Arial"/>
          <w:sz w:val="20"/>
          <w:szCs w:val="20"/>
          <w:lang w:val="en-US"/>
        </w:rPr>
        <w:t>(Lista</w:t>
      </w:r>
      <w:r w:rsidR="001A3EFA" w:rsidRPr="00D46669">
        <w:rPr>
          <w:rFonts w:ascii="Arial" w:hAnsi="Arial" w:cs="Arial"/>
          <w:sz w:val="20"/>
          <w:szCs w:val="20"/>
          <w:lang w:val="en-US"/>
        </w:rPr>
        <w:t xml:space="preserve"> i sur</w:t>
      </w:r>
      <w:r w:rsidRPr="00D46669">
        <w:rPr>
          <w:rFonts w:ascii="Arial" w:hAnsi="Arial" w:cs="Arial"/>
          <w:sz w:val="20"/>
          <w:szCs w:val="20"/>
          <w:lang w:val="en-US"/>
        </w:rPr>
        <w:t>., 2015</w:t>
      </w:r>
      <w:r w:rsidRPr="00D46669">
        <w:rPr>
          <w:rFonts w:ascii="Arial" w:hAnsi="Arial" w:cs="Arial"/>
          <w:sz w:val="20"/>
          <w:szCs w:val="20"/>
        </w:rPr>
        <w:t xml:space="preserve">.). S ciljem razjašnjavanja mehanizma nastanka bolesti koji bi omogućio razvoj novih dijagnostičkih metoda i terapije generirane su brojne hipoteze </w:t>
      </w:r>
      <w:r w:rsidR="008E12F1">
        <w:rPr>
          <w:rFonts w:ascii="Arial" w:hAnsi="Arial" w:cs="Arial"/>
          <w:sz w:val="20"/>
          <w:szCs w:val="20"/>
        </w:rPr>
        <w:t>o patogenetskoj pozadini</w:t>
      </w:r>
      <w:r w:rsidRPr="00D46669">
        <w:rPr>
          <w:rFonts w:ascii="Arial" w:hAnsi="Arial" w:cs="Arial"/>
          <w:sz w:val="20"/>
          <w:szCs w:val="20"/>
        </w:rPr>
        <w:t xml:space="preserve"> AD. Hipoteza amiloidne kaskade najpoznatija je i najzastupljenija u farmaceutskoj industriji i znanstveno-akademskoj zajednici kroz zadnjih 25 godina, a zastupa stajalište da je</w:t>
      </w:r>
      <w:r w:rsidR="005B6670">
        <w:rPr>
          <w:rFonts w:ascii="Arial" w:hAnsi="Arial" w:cs="Arial"/>
          <w:sz w:val="20"/>
          <w:szCs w:val="20"/>
        </w:rPr>
        <w:t xml:space="preserve"> akumulacija β-amiloid</w:t>
      </w:r>
      <w:r w:rsidRPr="00D46669">
        <w:rPr>
          <w:rFonts w:ascii="Arial" w:hAnsi="Arial" w:cs="Arial"/>
          <w:sz w:val="20"/>
          <w:szCs w:val="20"/>
        </w:rPr>
        <w:t xml:space="preserve"> </w:t>
      </w:r>
      <w:r w:rsidR="005B6670">
        <w:rPr>
          <w:rFonts w:ascii="Arial" w:hAnsi="Arial" w:cs="Arial"/>
          <w:sz w:val="20"/>
          <w:szCs w:val="20"/>
        </w:rPr>
        <w:t>peptida</w:t>
      </w:r>
      <w:r w:rsidR="005B6670" w:rsidRPr="00D46669">
        <w:rPr>
          <w:rFonts w:ascii="Arial" w:hAnsi="Arial" w:cs="Arial"/>
          <w:sz w:val="20"/>
          <w:szCs w:val="20"/>
        </w:rPr>
        <w:t xml:space="preserve"> </w:t>
      </w:r>
      <w:r w:rsidRPr="00D46669">
        <w:rPr>
          <w:rFonts w:ascii="Arial" w:hAnsi="Arial" w:cs="Arial"/>
          <w:sz w:val="20"/>
          <w:szCs w:val="20"/>
        </w:rPr>
        <w:t xml:space="preserve">(eng. β amyloid; Aβ) u moždanom parenhimu glavni patološki događaj i pokretač nastanka bolesti </w:t>
      </w:r>
      <w:r w:rsidR="00171F8E" w:rsidRPr="00D46669">
        <w:rPr>
          <w:rFonts w:ascii="Arial" w:hAnsi="Arial" w:cs="Arial"/>
          <w:sz w:val="20"/>
          <w:szCs w:val="20"/>
        </w:rPr>
        <w:fldChar w:fldCharType="begin" w:fldLock="1"/>
      </w:r>
      <w:r w:rsidR="00171F8E" w:rsidRPr="00D46669">
        <w:rPr>
          <w:rFonts w:ascii="Arial" w:hAnsi="Arial" w:cs="Arial"/>
          <w:sz w:val="20"/>
          <w:szCs w:val="20"/>
        </w:rPr>
        <w:instrText>ADDIN CSL_CITATION { "citationItems" : [ { "id" : "ITEM-1", "itemData" : { "DOI" : "10.1038/nrd3505", "ISSN" : "1474-1776", "abstract" : "The amyloid cascade hypothesis \u2014 which posits that the deposition of the amyloid-\u03b2 peptide in the brain is a central event in Alzheimer's disease (AD) pathology \u2014 has strongly influenced recent AD drug discovery efforts. However, so far all agents targeting amyloid-\u03b2 have failed in Phase III trials. Here, Karran and colleagues re-evaluate the amyloid cascade hypothesis and explore the future potential of amyloid-\u03b2-targeting therapeutics.", "author" : [ { "dropping-particle" : "", "family" : "Karran", "given" : "Eric", "non-dropping-particle" : "", "parse-names" : false, "suffix" : "" }, { "dropping-particle" : "", "family" : "Mercken", "given" : "Marc", "non-dropping-particle" : "", "parse-names" : false, "suffix" : "" }, { "dropping-particle" : "De", "family" : "Strooper", "given" : "Bart", "non-dropping-particle" : "", "parse-names" : false, "suffix" : "" } ], "container-title" : "Nature Reviews Drug Discovery", "id" : "ITEM-1", "issue" : "9", "issued" : { "date-parts" : [ [ "2011", "8", "19" ] ] }, "page" : "698-712", "publisher" : "Nature Publishing Group", "title" : "The amyloid cascade hypothesis for Alzheimer's disease: an appraisal for the development of therapeutics", "type" : "article-journal", "volume" : "10" }, "uris" : [ "http://www.mendeley.com/documents/?uuid=b24a6d6f-d8c0-346a-9b9d-3e61933374de" ] } ], "mendeley" : { "formattedCitation" : "(Karran, Mercken, &amp; Strooper, 2011)", "plainTextFormattedCitation" : "(Karran, Mercken, &amp; Strooper, 2011)", "previouslyFormattedCitation" : "(Karran, Mercken, &amp; Strooper, 2011a)" }, "properties" : {  }, "schema" : "https://github.com/citation-style-language/schema/raw/master/csl-citation.json" }</w:instrText>
      </w:r>
      <w:r w:rsidR="00171F8E" w:rsidRPr="00D46669">
        <w:rPr>
          <w:rFonts w:ascii="Arial" w:hAnsi="Arial" w:cs="Arial"/>
          <w:sz w:val="20"/>
          <w:szCs w:val="20"/>
        </w:rPr>
        <w:fldChar w:fldCharType="separate"/>
      </w:r>
      <w:r w:rsidR="00171F8E" w:rsidRPr="00D46669">
        <w:rPr>
          <w:rFonts w:ascii="Arial" w:hAnsi="Arial" w:cs="Arial"/>
          <w:noProof/>
          <w:sz w:val="20"/>
          <w:szCs w:val="20"/>
        </w:rPr>
        <w:t>(Karran</w:t>
      </w:r>
      <w:r w:rsidR="001A3EFA" w:rsidRPr="00D46669">
        <w:rPr>
          <w:rFonts w:ascii="Arial" w:hAnsi="Arial" w:cs="Arial"/>
          <w:noProof/>
          <w:sz w:val="20"/>
          <w:szCs w:val="20"/>
        </w:rPr>
        <w:t xml:space="preserve"> i sur.</w:t>
      </w:r>
      <w:r w:rsidR="00171F8E" w:rsidRPr="00D46669">
        <w:rPr>
          <w:rFonts w:ascii="Arial" w:hAnsi="Arial" w:cs="Arial"/>
          <w:noProof/>
          <w:sz w:val="20"/>
          <w:szCs w:val="20"/>
        </w:rPr>
        <w:t>, 2011)</w:t>
      </w:r>
      <w:r w:rsidR="00171F8E" w:rsidRPr="00D46669">
        <w:rPr>
          <w:rFonts w:ascii="Arial" w:hAnsi="Arial" w:cs="Arial"/>
          <w:sz w:val="20"/>
          <w:szCs w:val="20"/>
        </w:rPr>
        <w:fldChar w:fldCharType="end"/>
      </w:r>
      <w:r w:rsidRPr="00D46669">
        <w:rPr>
          <w:rFonts w:ascii="Arial" w:hAnsi="Arial" w:cs="Arial"/>
          <w:sz w:val="20"/>
          <w:szCs w:val="20"/>
        </w:rPr>
        <w:t xml:space="preserve">. Međutim, akumulacija </w:t>
      </w:r>
      <w:r w:rsidR="00773610" w:rsidRPr="00D46669">
        <w:rPr>
          <w:rFonts w:ascii="Arial" w:hAnsi="Arial" w:cs="Arial"/>
          <w:sz w:val="20"/>
          <w:szCs w:val="20"/>
        </w:rPr>
        <w:t>Aβ</w:t>
      </w:r>
      <w:r w:rsidRPr="00D46669">
        <w:rPr>
          <w:rFonts w:ascii="Arial" w:hAnsi="Arial" w:cs="Arial"/>
          <w:sz w:val="20"/>
          <w:szCs w:val="20"/>
        </w:rPr>
        <w:t xml:space="preserve"> moguća je i u kognitivno potpuno zdravih pojedinaca </w:t>
      </w:r>
      <w:r w:rsidRPr="00D46669">
        <w:rPr>
          <w:rFonts w:ascii="Arial" w:hAnsi="Arial" w:cs="Arial"/>
          <w:sz w:val="20"/>
          <w:szCs w:val="20"/>
          <w:lang w:val="en-US"/>
        </w:rPr>
        <w:fldChar w:fldCharType="begin" w:fldLock="1"/>
      </w:r>
      <w:r w:rsidRPr="00D46669">
        <w:rPr>
          <w:rFonts w:ascii="Arial" w:hAnsi="Arial" w:cs="Arial"/>
          <w:sz w:val="20"/>
          <w:szCs w:val="20"/>
          <w:lang w:val="en-US"/>
        </w:rPr>
        <w:instrText>ADDIN CSL_CITATION { "citationItems" : [ { "id" : "ITEM-1", "itemData" : { "DOI" : "10.1016/j.neurobiolaging.2009.04.002", "ISSN" : "01974580", "PMID" : "19376612", "abstract" : "OBJECTIVE To determine the frequency and possible cognitive effect of histological Alzheimer's disease (AD) in autopsied older nondemented individuals. DESIGN Senile plaques (SPs) and neurofibrillary tangles (NFTs) were assessed quantitatively in 97 cases from 7 Alzheimer's Disease Centers (ADCs). Neuropathological diagnoses of AD (npAD) were also made with four sets of criteria. Adjusted linear mixed models tested differences between participants with and without npAD on the quantitative neuropathology measures and psychometric test scores prior to death. Spearman rank-order correlations between AD lesions and psychometric scores at last assessment were calculated for cases with pathology in particular regions. SETTING Washington University Alzheimer's Disease Research Center. PARTICIPANTS Ninety-seven nondemented participants who were age 60 years or older at death (mean=84 years). RESULTS About 40% of nondemented individuals met at least some level of criteria for npAD; when strict criteria were used, about 20% of cases had npAD. Substantial overlap of Braak neurofibrillary stages occurred between npAD and no-npAD cases. Although there was no measurable cognitive impairment prior to death for either the no-npAD or npAD groups, cognitive function in nondemented aging appears to be degraded by the presence of NFTs and SPs. CONCLUSIONS Neuropathological processes related to AD in persons without dementia appear to be associated with subtle cognitive dysfunction and may represent a preclinical stage of the illness. By age 80-85 years, many nondemented older adults have substantial AD pathology.", "author" : [ { "dropping-particle" : "", "family" : "Price", "given" : "Joseph L.", "non-dropping-particle" : "", "parse-names" : false, "suffix" : "" }, { "dropping-particle" : "", "family" : "McKeel", "given" : "Daniel W.", "non-dropping-particle" : "", "parse-names" : false, "suffix" : "" }, { "dropping-particle" : "", "family" : "Buckles", "given" : "Virginia D.", "non-dropping-particle" : "", "parse-names" : false, "suffix" : "" }, { "dropping-particle" : "", "family" : "Roe", "given" : "Catherine M.", "non-dropping-particle" : "", "parse-names" : false, "suffix" : "" }, { "dropping-particle" : "", "family" : "Xiong", "given" : "Chengjie", "non-dropping-particle" : "", "parse-names" : false, "suffix" : "" }, { "dropping-particle" : "", "family" : "Grundman", "given" : "Michael", "non-dropping-particle" : "", "parse-names" : false, "suffix" : "" }, { "dropping-particle" : "", "family" : "Hansen", "given" : "Lawrence A.", "non-dropping-particle" : "", "parse-names" : false, "suffix" : "" }, { "dropping-particle" : "", "family" : "Petersen", "given" : "Ronald C.", "non-dropping-particle" : "", "parse-names" : false, "suffix" : "" }, { "dropping-particle" : "", "family" : "Parisi", "given" : "Joseph E.", "non-dropping-particle" : "", "parse-names" : false, "suffix" : "" }, { "dropping-particle" : "", "family" : "Dickson", "given" : "Dennis W.", "non-dropping-particle" : "", "parse-names" : false, "suffix" : "" }, { "dropping-particle" : "", "family" : "Smith", "given" : "Charles D.", "non-dropping-particle" : "", "parse-names" : false, "suffix" : "" }, { "dropping-particle" : "", "family" : "Davis", "given" : "Daron G.", "non-dropping-particle" : "", "parse-names" : false, "suffix" : "" }, { "dropping-particle" : "", "family" : "Schmitt", "given" : "Frederick A.", "non-dropping-particle" : "", "parse-names" : false, "suffix" : "" }, { "dropping-particle" : "", "family" : "Markesbery", "given" : "William R.", "non-dropping-particle" : "", "parse-names" : false, "suffix" : "" }, { "dropping-particle" : "", "family" : "Kaye", "given" : "Jeffrey", "non-dropping-particle" : "", "parse-names" : false, "suffix" : "" }, { "dropping-particle" : "", "family" : "Kurlan", "given" : "Roger", "non-dropping-particle" : "", "parse-names" : false, "suffix" : "" }, { "dropping-particle" : "", "family" : "Hulette", "given" : "Christine", "non-dropping-particle" : "", "parse-names" : false, "suffix" : "" }, { "dropping-particle" : "", "family" : "Kurland", "given" : "Brenda F.", "non-dropping-particle" : "", "parse-names" : false, "suffix" : "" }, { "dropping-particle" : "", "family" : "Higdon", "given" : "Roger", "non-dropping-particle" : "", "parse-names" : false, "suffix" : "" }, { "dropping-particle" : "", "family" : "Kukull", "given" : "Walter", "non-dropping-particle" : "", "parse-names" : false, "suffix" : "" }, { "dropping-particle" : "", "family" : "Morris", "given" : "John C.", "non-dropping-particle" : "", "parse-names" : false, "suffix" : "" } ], "container-title" : "Neurobiology of Aging", "id" : "ITEM-1", "issue" : "7", "issued" : { "date-parts" : [ [ "2009", "7" ] ] }, "page" : "1026-1036", "title" : "Neuropathology of nondemented aging: Presumptive evidence for preclinical Alzheimer disease", "type" : "article-journal", "volume" : "30" }, "uris" : [ "http://www.mendeley.com/documents/?uuid=0761e25a-3282-3ce1-a669-ffd0c61f04f5", "http://www.mendeley.com/documents/?uuid=9dab3284-e847-4583-b224-80d658e3702e" ] } ], "mendeley" : { "formattedCitation" : "(Price et al., 2009)", "plainTextFormattedCitation" : "(Price et al., 2009)", "previouslyFormattedCitation" : "(Price et al., 2009)" }, "properties" : {  }, "schema" : "https://github.com/citation-style-language/schema/raw/master/csl-citation.json" }</w:instrText>
      </w:r>
      <w:r w:rsidRPr="00D46669">
        <w:rPr>
          <w:rFonts w:ascii="Arial" w:hAnsi="Arial" w:cs="Arial"/>
          <w:sz w:val="20"/>
          <w:szCs w:val="20"/>
          <w:lang w:val="en-US"/>
        </w:rPr>
        <w:fldChar w:fldCharType="separate"/>
      </w:r>
      <w:r w:rsidRPr="00D46669">
        <w:rPr>
          <w:rFonts w:ascii="Arial" w:hAnsi="Arial" w:cs="Arial"/>
          <w:noProof/>
          <w:sz w:val="20"/>
          <w:szCs w:val="20"/>
          <w:lang w:val="en-US"/>
        </w:rPr>
        <w:t xml:space="preserve">(Price </w:t>
      </w:r>
      <w:r w:rsidR="001A3EFA" w:rsidRPr="00D46669">
        <w:rPr>
          <w:rFonts w:ascii="Arial" w:hAnsi="Arial" w:cs="Arial"/>
          <w:noProof/>
          <w:sz w:val="20"/>
          <w:szCs w:val="20"/>
          <w:lang w:val="en-US"/>
        </w:rPr>
        <w:t>i sur</w:t>
      </w:r>
      <w:r w:rsidRPr="00D46669">
        <w:rPr>
          <w:rFonts w:ascii="Arial" w:hAnsi="Arial" w:cs="Arial"/>
          <w:noProof/>
          <w:sz w:val="20"/>
          <w:szCs w:val="20"/>
          <w:lang w:val="en-US"/>
        </w:rPr>
        <w:t>., 2009)</w:t>
      </w:r>
      <w:r w:rsidRPr="00D46669">
        <w:rPr>
          <w:rFonts w:ascii="Arial" w:hAnsi="Arial" w:cs="Arial"/>
          <w:sz w:val="20"/>
          <w:szCs w:val="20"/>
        </w:rPr>
        <w:fldChar w:fldCharType="end"/>
      </w:r>
      <w:r w:rsidRPr="00D46669">
        <w:rPr>
          <w:rFonts w:ascii="Arial" w:hAnsi="Arial" w:cs="Arial"/>
          <w:sz w:val="20"/>
          <w:szCs w:val="20"/>
        </w:rPr>
        <w:t>, a svi lijekovi čiji je razvoj baziran na ovom pristupu, a koji su ušli u treću fazu razvoja</w:t>
      </w:r>
      <w:r w:rsidR="00773610" w:rsidRPr="00D46669">
        <w:rPr>
          <w:rFonts w:ascii="Arial" w:hAnsi="Arial" w:cs="Arial"/>
          <w:sz w:val="20"/>
          <w:szCs w:val="20"/>
        </w:rPr>
        <w:t>,</w:t>
      </w:r>
      <w:r w:rsidRPr="00D46669">
        <w:rPr>
          <w:rFonts w:ascii="Arial" w:hAnsi="Arial" w:cs="Arial"/>
          <w:sz w:val="20"/>
          <w:szCs w:val="20"/>
        </w:rPr>
        <w:t xml:space="preserve"> dosad su se pokazali neučinkoviti </w:t>
      </w:r>
      <w:r w:rsidR="00171F8E" w:rsidRPr="00D46669">
        <w:rPr>
          <w:rFonts w:ascii="Arial" w:hAnsi="Arial" w:cs="Arial"/>
          <w:sz w:val="20"/>
          <w:szCs w:val="20"/>
          <w:lang w:val="en-US"/>
        </w:rPr>
        <w:fldChar w:fldCharType="begin" w:fldLock="1"/>
      </w:r>
      <w:r w:rsidR="00171F8E" w:rsidRPr="00D46669">
        <w:rPr>
          <w:rFonts w:ascii="Arial" w:hAnsi="Arial" w:cs="Arial"/>
          <w:sz w:val="20"/>
          <w:szCs w:val="20"/>
          <w:lang w:val="en-US"/>
        </w:rPr>
        <w:instrText>ADDIN CSL_CITATION { "citationItems" : [ { "id" : "ITEM-1", "itemData" : { "DOI" : "10.1038/nrd3505", "ISSN" : "1474-1776", "abstract" : "The amyloid cascade hypothesis \u2014 which posits that the deposition of the amyloid-\u03b2 peptide in the brain is a central event in Alzheimer's disease (AD) pathology \u2014 has strongly influenced recent AD drug discovery efforts. However, so far all agents targeting amyloid-\u03b2 have failed in Phase III trials. Here, Karran and colleagues re-evaluate the amyloid cascade hypothesis and explore the future potential of amyloid-\u03b2-targeting therapeutics.", "author" : [ { "dropping-particle" : "", "family" : "Karran", "given" : "Eric", "non-dropping-particle" : "", "parse-names" : false, "suffix" : "" }, { "dropping-particle" : "", "family" : "Mercken", "given" : "Marc", "non-dropping-particle" : "", "parse-names" : false, "suffix" : "" }, { "dropping-particle" : "De", "family" : "Strooper", "given" : "Bart", "non-dropping-particle" : "", "parse-names" : false, "suffix" : "" } ], "container-title" : "Nature Reviews Drug Discovery", "id" : "ITEM-1", "issue" : "9", "issued" : { "date-parts" : [ [ "2011", "8", "19" ] ] }, "page" : "698-712", "publisher" : "Nature Publishing Group", "title" : "The amyloid cascade hypothesis for Alzheimer's disease: an appraisal for the development of therapeutics", "type" : "article-journal", "volume" : "10" }, "uris" : [ "http://www.mendeley.com/documents/?uuid=b24a6d6f-d8c0-346a-9b9d-3e61933374de", "http://www.mendeley.com/documents/?uuid=d35208e8-3e88-4cc1-b3f6-97019b3cc611" ] } ], "mendeley" : { "formattedCitation" : "(Karran et al., 2011)", "plainTextFormattedCitation" : "(Karran et al., 2011)", "previouslyFormattedCitation" : "(Karran et al., 2011a)" }, "properties" : {  }, "schema" : "https://github.com/citation-style-language/schema/raw/master/csl-citation.json" }</w:instrText>
      </w:r>
      <w:r w:rsidR="00171F8E" w:rsidRPr="00D46669">
        <w:rPr>
          <w:rFonts w:ascii="Arial" w:hAnsi="Arial" w:cs="Arial"/>
          <w:sz w:val="20"/>
          <w:szCs w:val="20"/>
          <w:lang w:val="en-US"/>
        </w:rPr>
        <w:fldChar w:fldCharType="separate"/>
      </w:r>
      <w:r w:rsidR="00171F8E" w:rsidRPr="00D46669">
        <w:rPr>
          <w:rFonts w:ascii="Arial" w:hAnsi="Arial" w:cs="Arial"/>
          <w:noProof/>
          <w:sz w:val="20"/>
          <w:szCs w:val="20"/>
          <w:lang w:val="en-US"/>
        </w:rPr>
        <w:t xml:space="preserve">(Karran </w:t>
      </w:r>
      <w:r w:rsidR="001A3EFA" w:rsidRPr="00D46669">
        <w:rPr>
          <w:rFonts w:ascii="Arial" w:hAnsi="Arial" w:cs="Arial"/>
          <w:noProof/>
          <w:sz w:val="20"/>
          <w:szCs w:val="20"/>
          <w:lang w:val="en-US"/>
        </w:rPr>
        <w:t>i sur</w:t>
      </w:r>
      <w:r w:rsidR="00171F8E" w:rsidRPr="00D46669">
        <w:rPr>
          <w:rFonts w:ascii="Arial" w:hAnsi="Arial" w:cs="Arial"/>
          <w:noProof/>
          <w:sz w:val="20"/>
          <w:szCs w:val="20"/>
          <w:lang w:val="en-US"/>
        </w:rPr>
        <w:t>., 2011)</w:t>
      </w:r>
      <w:r w:rsidR="00171F8E" w:rsidRPr="00D46669">
        <w:rPr>
          <w:rFonts w:ascii="Arial" w:hAnsi="Arial" w:cs="Arial"/>
          <w:sz w:val="20"/>
          <w:szCs w:val="20"/>
        </w:rPr>
        <w:fldChar w:fldCharType="end"/>
      </w:r>
      <w:r w:rsidRPr="00D46669">
        <w:rPr>
          <w:rFonts w:ascii="Arial" w:hAnsi="Arial" w:cs="Arial"/>
          <w:sz w:val="20"/>
          <w:szCs w:val="20"/>
        </w:rPr>
        <w:t xml:space="preserve">. Drugi istraživači vjeruju da je središnje patološko zbivanje u AD patološka fosforilacija i agregacija tau protina, koja dovodi do nastanka filamenata sparenih u dvostruku uzvojnicu (eng. paired helical filament; PHF) i neurofibrilarnih vlakana koji oštećuju stanične homeostatske funkcije </w:t>
      </w:r>
      <w:r w:rsidRPr="00D46669">
        <w:rPr>
          <w:rFonts w:ascii="Arial" w:hAnsi="Arial" w:cs="Arial"/>
          <w:sz w:val="20"/>
          <w:szCs w:val="20"/>
          <w:lang w:val="en-US"/>
        </w:rPr>
        <w:fldChar w:fldCharType="begin" w:fldLock="1"/>
      </w:r>
      <w:r w:rsidRPr="00D46669">
        <w:rPr>
          <w:rFonts w:ascii="Arial" w:hAnsi="Arial" w:cs="Arial"/>
          <w:sz w:val="20"/>
          <w:szCs w:val="20"/>
          <w:lang w:val="en-US"/>
        </w:rPr>
        <w:instrText>ADDIN CSL_CITATION { "citationItems" : [ { "id" : "ITEM-1", "itemData" : { "DOI" : "10.4103/0019-5545.44908", "ISSN" : "0019-5545", "PMID" : "19742193", "abstract" : "Alzheimer's disease (AD) is a devastating neurodegenerative disease, the most common among the dementing illnesses. The neuropathological hallmarks of AD include extracellular beta-amyloid (amyloid precursor protein (APP) deposits, intracellular neurofibrillary tangles (NFT)), dystrophic neuritis and amyloid angiopathy. The mismetabolism of APP and the defective clearance of beta amyloid generate a cascade of events including hyperphosphorylated tau (tau) mediated breakdown of microtubular assembly and resultant synaptic failure which results in AD. The exact aetiopathogenesis of AD is still obscure. The preeminent hypotheses of AD include amyloid cascade hypothesis and tau hyperphosphorylation. The amyloid hypothesis states that extracellular amyloid plaques formed by aggregates of Abeta peptide generated by the proteolytic cleavages of APP are central to AD pathology. Intracellular assembly states of the oligomeric and protofibrillar species may facilitate tau hyperphosphorylation, disruption of proteasome and mitochondria function, dysregulation of calcium homeostasis, synaptic failure, and cognitive dysfunction. The tau hypothesis states that excessive or abnormal phosphorylation of tau results in the transformation of normal adult tau into PHF-tau (paired helical filament) and NFTs. Vascular hypothesis is also proposed for AD and it concludes that advancing age and the presence of vascular risk factors create a Critically Attained Threshold of Cerebral Hypoperfusion (CATCH) which leads to cellular and subcellular pathology involving protein synthesis, development of plaques, inflammatory response, and synaptic damage leading to the manifestations of AD. Multiple other aetiological and pathogenetic hypotheses have been put forward including genetics, oxidative stress, dysfunctional calcium homeostasis, hormonal, inflammatory-immunologic, and cell cycle dysregulation with the resultant neurotransmitter dysfunctions and cognitive decline. The available therapeutic agents target only the neurotransmitter dysfunction in AD and agents specifically targeting the pathogenetic mechanisms like amyloid deposition and tau hyperphosphorylation might provide a definite therapeutic edge.", "author" : [ { "dropping-particle" : "", "family" : "Mohandas", "given" : "E", "non-dropping-particle" : "", "parse-names" : false, "suffix" : "" }, { "dropping-particle" : "", "family" : "Rajmohan", "given" : "V", "non-dropping-particle" : "", "parse-names" : false, "suffix" : "" }, { "dropping-particle" : "", "family" : "Raghunath", "given" : "B", "non-dropping-particle" : "", "parse-names" : false, "suffix" : "" } ], "container-title" : "Indian journal of psychiatry", "id" : "ITEM-1", "issue" : "1", "issued" : { "date-parts" : [ [ "2009", "1" ] ] }, "page" : "55-61", "publisher" : "Wolters Kluwer -- Medknow Publications", "title" : "Neurobiology of Alzheimer's disease.", "type" : "article-journal", "volume" : "51" }, "uris" : [ "http://www.mendeley.com/documents/?uuid=729be852-4cee-36d1-bb77-7ebd567d2ad9", "http://www.mendeley.com/documents/?uuid=531691ed-ce66-4d17-ab98-26585618dbaa" ] }, { "id" : "ITEM-2", "itemData" : { "DOI" : "10.1016/j.arcmed.2010.03.007", "ISSN" : "01884409", "PMID" : "20682182", "abstract" : "Many hypotheses have been raised regarding the pathophysiology of Alzheimer's disease (AD). Because amyloid beta peptide (Abeta) deposition in senile plaques appears as a late, nonspecific event, recent evidence points to tau phosphorylation and aggregation as the final common pathway in this multifactorial disease. Current approaches that provide evidence in favor of neuroimmunomodulation in AD and the roles of tau pathological modifications and aggregation into oligomers and filamentous forms are presented. We propose an integrative model on the pathogenesis of AD that includes several damage signals such as Abeta oligomers, oxygen free radicals, iron overload, homocysteine, cholesterol and LDL species. These activate microglia cells, releasing proinflammatory cytokines and producing neuronal degeneration and tau pathological modifications. Altered and aggregated forms of tau appear to act as a toxic stimuli contributing to neurodegeneration. Recent findings provide further support to the central role of tau in the pathogenesis of AD, so this protein has turned into a diagnostic and therapeutic target for this disease.", "author" : [ { "dropping-particle" : "", "family" : "Maccioni", "given" : "Ricardo B.", "non-dropping-particle" : "", "parse-names" : false, "suffix" : "" }, { "dropping-particle" : "", "family" : "Far\u00edas", "given" : "Gonzalo", "non-dropping-particle" : "", "parse-names" : false, "suffix" : "" }, { "dropping-particle" : "", "family" : "Morales", "given" : "Inelia", "non-dropping-particle" : "", "parse-names" : false, "suffix" : "" }, { "dropping-particle" : "", "family" : "Navarrete", "given" : "Leonardo", "non-dropping-particle" : "", "parse-names" : false, "suffix" : "" } ], "container-title" : "Archives of Medical Research", "id" : "ITEM-2", "issue" : "3", "issued" : { "date-parts" : [ [ "2010", "4" ] ] }, "page" : "226-231", "title" : "The Revitalized Tau Hypothesis on Alzheimer's Disease", "type" : "article-journal", "volume" : "41" }, "uris" : [ "http://www.mendeley.com/documents/?uuid=4287fd9b-9a8a-39c1-b1f9-261781242e1b", "http://www.mendeley.com/documents/?uuid=d236e149-7b81-4f78-88d9-3a498f0d17d9" ] } ], "mendeley" : { "formattedCitation" : "(Maccioni, Far\u00edas, Morales, &amp; Navarrete, 2010; Mohandas, Rajmohan, &amp; Raghunath, 2009)", "plainTextFormattedCitation" : "(Maccioni, Far\u00edas, Morales, &amp; Navarrete, 2010; Mohandas, Rajmohan, &amp; Raghunath, 2009)", "previouslyFormattedCitation" : "(Maccioni, Far\u00edas, Morales, &amp; Navarrete, 2010; Mohandas, Rajmohan, &amp; Raghunath, 2009)" }, "properties" : {  }, "schema" : "https://github.com/citation-style-language/schema/raw/master/csl-citation.json" }</w:instrText>
      </w:r>
      <w:r w:rsidRPr="00D46669">
        <w:rPr>
          <w:rFonts w:ascii="Arial" w:hAnsi="Arial" w:cs="Arial"/>
          <w:sz w:val="20"/>
          <w:szCs w:val="20"/>
          <w:lang w:val="en-US"/>
        </w:rPr>
        <w:fldChar w:fldCharType="separate"/>
      </w:r>
      <w:r w:rsidRPr="00D46669">
        <w:rPr>
          <w:rFonts w:ascii="Arial" w:hAnsi="Arial" w:cs="Arial"/>
          <w:noProof/>
          <w:sz w:val="20"/>
          <w:szCs w:val="20"/>
          <w:lang w:val="en-US"/>
        </w:rPr>
        <w:t>(Maccioni</w:t>
      </w:r>
      <w:r w:rsidR="001A3EFA" w:rsidRPr="00D46669">
        <w:rPr>
          <w:rFonts w:ascii="Arial" w:hAnsi="Arial" w:cs="Arial"/>
          <w:noProof/>
          <w:sz w:val="20"/>
          <w:szCs w:val="20"/>
          <w:lang w:val="en-US"/>
        </w:rPr>
        <w:t xml:space="preserve"> i sur.</w:t>
      </w:r>
      <w:r w:rsidRPr="00D46669">
        <w:rPr>
          <w:rFonts w:ascii="Arial" w:hAnsi="Arial" w:cs="Arial"/>
          <w:noProof/>
          <w:sz w:val="20"/>
          <w:szCs w:val="20"/>
          <w:lang w:val="en-US"/>
        </w:rPr>
        <w:t xml:space="preserve">, 2010; Mohandas </w:t>
      </w:r>
      <w:r w:rsidR="001A3EFA" w:rsidRPr="00D46669">
        <w:rPr>
          <w:rFonts w:ascii="Arial" w:hAnsi="Arial" w:cs="Arial"/>
          <w:noProof/>
          <w:sz w:val="20"/>
          <w:szCs w:val="20"/>
          <w:lang w:val="en-US"/>
        </w:rPr>
        <w:t xml:space="preserve">i sur., </w:t>
      </w:r>
      <w:r w:rsidRPr="00D46669">
        <w:rPr>
          <w:rFonts w:ascii="Arial" w:hAnsi="Arial" w:cs="Arial"/>
          <w:noProof/>
          <w:sz w:val="20"/>
          <w:szCs w:val="20"/>
          <w:lang w:val="en-US"/>
        </w:rPr>
        <w:t>2009)</w:t>
      </w:r>
      <w:r w:rsidRPr="00D46669">
        <w:rPr>
          <w:rFonts w:ascii="Arial" w:hAnsi="Arial" w:cs="Arial"/>
          <w:sz w:val="20"/>
          <w:szCs w:val="20"/>
          <w:lang w:val="en-US"/>
        </w:rPr>
        <w:fldChar w:fldCharType="end"/>
      </w:r>
      <w:r w:rsidRPr="00D46669">
        <w:rPr>
          <w:rFonts w:ascii="Arial" w:hAnsi="Arial" w:cs="Arial"/>
          <w:sz w:val="20"/>
          <w:szCs w:val="20"/>
          <w:lang w:val="en-US"/>
        </w:rPr>
        <w:t xml:space="preserve">. Ostale hipoteze stvorene s ciljem razumijevanja patogeneze AD su upalna hipoteza, hipoteza oksidativnog stresa, vaskularna hipoteza, hipoteza poremećaja homeostaze metalnih iona, kolesterolna hipoteza i druge </w:t>
      </w:r>
      <w:r w:rsidRPr="00D46669">
        <w:rPr>
          <w:rFonts w:ascii="Arial" w:hAnsi="Arial" w:cs="Arial"/>
          <w:sz w:val="20"/>
          <w:szCs w:val="20"/>
          <w:lang w:val="en-US"/>
        </w:rPr>
        <w:fldChar w:fldCharType="begin" w:fldLock="1"/>
      </w:r>
      <w:r w:rsidRPr="00D46669">
        <w:rPr>
          <w:rFonts w:ascii="Arial" w:hAnsi="Arial" w:cs="Arial"/>
          <w:sz w:val="20"/>
          <w:szCs w:val="20"/>
          <w:lang w:val="en-US"/>
        </w:rPr>
        <w:instrText>ADDIN CSL_CITATION { "citationItems" : [ { "id" : "ITEM-1", "itemData" : { "DOI" : "10.4103/0019-5545.44908", "ISSN" : "0019-5545", "PMID" : "19742193", "abstract" : "Alzheimer's disease (AD) is a devastating neurodegenerative disease, the most common among the dementing illnesses. The neuropathological hallmarks of AD include extracellular beta-amyloid (amyloid precursor protein (APP) deposits, intracellular neurofibrillary tangles (NFT)), dystrophic neuritis and amyloid angiopathy. The mismetabolism of APP and the defective clearance of beta amyloid generate a cascade of events including hyperphosphorylated tau (tau) mediated breakdown of microtubular assembly and resultant synaptic failure which results in AD. The exact aetiopathogenesis of AD is still obscure. The preeminent hypotheses of AD include amyloid cascade hypothesis and tau hyperphosphorylation. The amyloid hypothesis states that extracellular amyloid plaques formed by aggregates of Abeta peptide generated by the proteolytic cleavages of APP are central to AD pathology. Intracellular assembly states of the oligomeric and protofibrillar species may facilitate tau hyperphosphorylation, disruption of proteasome and mitochondria function, dysregulation of calcium homeostasis, synaptic failure, and cognitive dysfunction. The tau hypothesis states that excessive or abnormal phosphorylation of tau results in the transformation of normal adult tau into PHF-tau (paired helical filament) and NFTs. Vascular hypothesis is also proposed for AD and it concludes that advancing age and the presence of vascular risk factors create a Critically Attained Threshold of Cerebral Hypoperfusion (CATCH) which leads to cellular and subcellular pathology involving protein synthesis, development of plaques, inflammatory response, and synaptic damage leading to the manifestations of AD. Multiple other aetiological and pathogenetic hypotheses have been put forward including genetics, oxidative stress, dysfunctional calcium homeostasis, hormonal, inflammatory-immunologic, and cell cycle dysregulation with the resultant neurotransmitter dysfunctions and cognitive decline. The available therapeutic agents target only the neurotransmitter dysfunction in AD and agents specifically targeting the pathogenetic mechanisms like amyloid deposition and tau hyperphosphorylation might provide a definite therapeutic edge.", "author" : [ { "dropping-particle" : "", "family" : "Mohandas", "given" : "E", "non-dropping-particle" : "", "parse-names" : false, "suffix" : "" }, { "dropping-particle" : "", "family" : "Rajmohan", "given" : "V", "non-dropping-particle" : "", "parse-names" : false, "suffix" : "" }, { "dropping-particle" : "", "family" : "Raghunath", "given" : "B", "non-dropping-particle" : "", "parse-names" : false, "suffix" : "" } ], "container-title" : "Indian journal of psychiatry", "id" : "ITEM-1", "issue" : "1", "issued" : { "date-parts" : [ [ "2009", "1" ] ] }, "page" : "55-61", "publisher" : "Wolters Kluwer -- Medknow Publications", "title" : "Neurobiology of Alzheimer's disease.", "type" : "article-journal", "volume" : "51" }, "uris" : [ "http://www.mendeley.com/documents/?uuid=729be852-4cee-36d1-bb77-7ebd567d2ad9" ] } ], "mendeley" : { "formattedCitation" : "(Mohandas et al., 2009)", "plainTextFormattedCitation" : "(Mohandas et al., 2009)", "previouslyFormattedCitation" : "(Mohandas et al., 2009)" }, "properties" : {  }, "schema" : "https://github.com/citation-style-language/schema/raw/master/csl-citation.json" }</w:instrText>
      </w:r>
      <w:r w:rsidRPr="00D46669">
        <w:rPr>
          <w:rFonts w:ascii="Arial" w:hAnsi="Arial" w:cs="Arial"/>
          <w:sz w:val="20"/>
          <w:szCs w:val="20"/>
          <w:lang w:val="en-US"/>
        </w:rPr>
        <w:fldChar w:fldCharType="separate"/>
      </w:r>
      <w:r w:rsidRPr="00D46669">
        <w:rPr>
          <w:rFonts w:ascii="Arial" w:hAnsi="Arial" w:cs="Arial"/>
          <w:noProof/>
          <w:sz w:val="20"/>
          <w:szCs w:val="20"/>
          <w:lang w:val="en-US"/>
        </w:rPr>
        <w:t>(Mohandas</w:t>
      </w:r>
      <w:r w:rsidR="003B2543" w:rsidRPr="00D46669">
        <w:rPr>
          <w:rFonts w:ascii="Arial" w:hAnsi="Arial" w:cs="Arial"/>
          <w:noProof/>
          <w:sz w:val="20"/>
          <w:szCs w:val="20"/>
          <w:lang w:val="en-US"/>
        </w:rPr>
        <w:t xml:space="preserve"> i sur</w:t>
      </w:r>
      <w:r w:rsidRPr="00D46669">
        <w:rPr>
          <w:rFonts w:ascii="Arial" w:hAnsi="Arial" w:cs="Arial"/>
          <w:noProof/>
          <w:sz w:val="20"/>
          <w:szCs w:val="20"/>
          <w:lang w:val="en-US"/>
        </w:rPr>
        <w:t>., 2009)</w:t>
      </w:r>
      <w:r w:rsidRPr="00D46669">
        <w:rPr>
          <w:rFonts w:ascii="Arial" w:hAnsi="Arial" w:cs="Arial"/>
          <w:sz w:val="20"/>
          <w:szCs w:val="20"/>
          <w:lang w:val="en-US"/>
        </w:rPr>
        <w:fldChar w:fldCharType="end"/>
      </w:r>
      <w:r w:rsidRPr="00D46669">
        <w:rPr>
          <w:rFonts w:ascii="Arial" w:hAnsi="Arial" w:cs="Arial"/>
          <w:sz w:val="20"/>
          <w:szCs w:val="20"/>
          <w:lang w:val="en-US"/>
        </w:rPr>
        <w:t>. Inzulinska hipoteza, koja povezuje nastanak AD s poremećajem inzulinske signalizacije i metabolizma u</w:t>
      </w:r>
      <w:r w:rsidR="005B036B" w:rsidRPr="00D46669">
        <w:rPr>
          <w:rFonts w:ascii="Arial" w:hAnsi="Arial" w:cs="Arial"/>
          <w:sz w:val="20"/>
          <w:szCs w:val="20"/>
          <w:lang w:val="en-US"/>
        </w:rPr>
        <w:t xml:space="preserve"> mozgu</w:t>
      </w:r>
      <w:r w:rsidR="008E12F1">
        <w:rPr>
          <w:rFonts w:ascii="Arial" w:hAnsi="Arial" w:cs="Arial"/>
          <w:sz w:val="20"/>
          <w:szCs w:val="20"/>
          <w:lang w:val="en-US"/>
        </w:rPr>
        <w:t>,</w:t>
      </w:r>
      <w:r w:rsidR="005B036B" w:rsidRPr="00D46669">
        <w:rPr>
          <w:rFonts w:ascii="Arial" w:hAnsi="Arial" w:cs="Arial"/>
          <w:sz w:val="20"/>
          <w:szCs w:val="20"/>
          <w:lang w:val="en-US"/>
        </w:rPr>
        <w:t xml:space="preserve"> jedna je od hipoteza koja</w:t>
      </w:r>
      <w:r w:rsidRPr="00D46669">
        <w:rPr>
          <w:rFonts w:ascii="Arial" w:hAnsi="Arial" w:cs="Arial"/>
          <w:sz w:val="20"/>
          <w:szCs w:val="20"/>
          <w:lang w:val="en-US"/>
        </w:rPr>
        <w:t xml:space="preserve"> u</w:t>
      </w:r>
      <w:r w:rsidR="005B036B" w:rsidRPr="00D46669">
        <w:rPr>
          <w:rFonts w:ascii="Arial" w:hAnsi="Arial" w:cs="Arial"/>
          <w:sz w:val="20"/>
          <w:szCs w:val="20"/>
          <w:lang w:val="en-US"/>
        </w:rPr>
        <w:t xml:space="preserve"> zadnje vrijeme sve više dobiva</w:t>
      </w:r>
      <w:r w:rsidRPr="00D46669">
        <w:rPr>
          <w:rFonts w:ascii="Arial" w:hAnsi="Arial" w:cs="Arial"/>
          <w:sz w:val="20"/>
          <w:szCs w:val="20"/>
          <w:lang w:val="en-US"/>
        </w:rPr>
        <w:t xml:space="preserve"> na </w:t>
      </w:r>
      <w:r w:rsidR="005B036B" w:rsidRPr="00D46669">
        <w:rPr>
          <w:rFonts w:ascii="Arial" w:hAnsi="Arial" w:cs="Arial"/>
          <w:sz w:val="20"/>
          <w:szCs w:val="20"/>
          <w:lang w:val="en-US"/>
        </w:rPr>
        <w:t>z</w:t>
      </w:r>
      <w:r w:rsidRPr="00D46669">
        <w:rPr>
          <w:rFonts w:ascii="Arial" w:hAnsi="Arial" w:cs="Arial"/>
          <w:sz w:val="20"/>
          <w:szCs w:val="20"/>
          <w:lang w:val="en-US"/>
        </w:rPr>
        <w:t xml:space="preserve">načaju u kontekstu novih dokaza koji pokazuju da inzulin ima važnu ulogu u regulaciji metabolizma glukoze, modulaciji sinaptičke plastičnosti te rasta i preživljavanja neurona </w:t>
      </w:r>
      <w:r w:rsidR="00171F8E" w:rsidRPr="00D46669">
        <w:rPr>
          <w:rFonts w:ascii="Arial" w:hAnsi="Arial" w:cs="Arial"/>
          <w:sz w:val="20"/>
          <w:szCs w:val="20"/>
          <w:lang w:val="en-US"/>
        </w:rPr>
        <w:fldChar w:fldCharType="begin" w:fldLock="1"/>
      </w:r>
      <w:r w:rsidR="00171F8E" w:rsidRPr="00D46669">
        <w:rPr>
          <w:rFonts w:ascii="Arial" w:hAnsi="Arial" w:cs="Arial"/>
          <w:sz w:val="20"/>
          <w:szCs w:val="20"/>
          <w:lang w:val="en-US"/>
        </w:rPr>
        <w:instrText>ADDIN CSL_CITATION { "citationItems" : [ { "id" : "ITEM-1", "itemData" : { "DOI" : "10.1016/j.arr.2011.01.001", "ISSN" : "15681637", "PMID" : "21262392", "abstract" : "Severe abnormalities in brain glucose/energy metabolism and insulin signaling have been documented to take a pivotal role in early sporadic Alzheimer's disease (sAD) pathology. Indeed, the \"insulin-resistant brain state\" has been hypothesized to form the core of the neurodegenerative events that occur in sAD. In this vein, intracerebroventricular administration of subdiabetogenic doses of streptozotocin (STZ) in rats can induce an insulin-resistant brain state, which is proposed as a suitable experimental model of sAD. This review highlights the involvement of disturbed brain insulin metabolism in sAD etiopathogenesis. Furthermore, current knowledge demonstrates that central STZ administration produces brain pathology and behavioral changes that resemble changes found in sAD patients. The STZ-intracerebroventricularly treated rat represents a promising experimental tool in this field by providing new insights concerning early brain alterations in sAD, which can be translated in novel etiopathogenic and therapeutic approaches in this disease.", "author" : [ { "dropping-particle" : "", "family" : "Correia", "given" : "S\u00f3nia C.", "non-dropping-particle" : "", "parse-names" : false, "suffix" : "" }, { "dropping-particle" : "", "family" : "Santos", "given" : "Renato X.", "non-dropping-particle" : "", "parse-names" : false, "suffix" : "" }, { "dropping-particle" : "", "family" : "Perry", "given" : "George", "non-dropping-particle" : "", "parse-names" : false, "suffix" : "" }, { "dropping-particle" : "", "family" : "Zhu", "given" : "Xiongwei", "non-dropping-particle" : "", "parse-names" : false, "suffix" : "" }, { "dropping-particle" : "", "family" : "Moreira", "given" : "Paula I.", "non-dropping-particle" : "", "parse-names" : false, "suffix" : "" }, { "dropping-particle" : "", "family" : "Smith", "given" : "Mark A.", "non-dropping-particle" : "", "parse-names" : false, "suffix" : "" } ], "container-title" : "Ageing Research Reviews", "id" : "ITEM-1", "issue" : "2", "issued" : { "date-parts" : [ [ "2011", "4" ] ] }, "page" : "264-273", "title" : "Insulin-resistant brain state: The culprit in sporadic Alzheimer's disease?", "type" : "article-journal", "volume" : "10" }, "uris" : [ "http://www.mendeley.com/documents/?uuid=8f3548cd-cc34-339e-8cde-728c410326b1" ] } ], "mendeley" : { "formattedCitation" : "(Correia et al., 2011)", "plainTextFormattedCitation" : "(Correia et al., 2011)", "previouslyFormattedCitation" : "(Correia et al., 2011)" }, "properties" : {  }, "schema" : "https://github.com/citation-style-language/schema/raw/master/csl-citation.json" }</w:instrText>
      </w:r>
      <w:r w:rsidR="00171F8E" w:rsidRPr="00D46669">
        <w:rPr>
          <w:rFonts w:ascii="Arial" w:hAnsi="Arial" w:cs="Arial"/>
          <w:sz w:val="20"/>
          <w:szCs w:val="20"/>
          <w:lang w:val="en-US"/>
        </w:rPr>
        <w:fldChar w:fldCharType="separate"/>
      </w:r>
      <w:r w:rsidR="00171F8E" w:rsidRPr="00D46669">
        <w:rPr>
          <w:rFonts w:ascii="Arial" w:hAnsi="Arial" w:cs="Arial"/>
          <w:noProof/>
          <w:sz w:val="20"/>
          <w:szCs w:val="20"/>
          <w:lang w:val="en-US"/>
        </w:rPr>
        <w:t xml:space="preserve">(Correia </w:t>
      </w:r>
      <w:r w:rsidR="003B2543" w:rsidRPr="00D46669">
        <w:rPr>
          <w:rFonts w:ascii="Arial" w:hAnsi="Arial" w:cs="Arial"/>
          <w:noProof/>
          <w:sz w:val="20"/>
          <w:szCs w:val="20"/>
          <w:lang w:val="en-US"/>
        </w:rPr>
        <w:t>i sur</w:t>
      </w:r>
      <w:r w:rsidR="00171F8E" w:rsidRPr="00D46669">
        <w:rPr>
          <w:rFonts w:ascii="Arial" w:hAnsi="Arial" w:cs="Arial"/>
          <w:noProof/>
          <w:sz w:val="20"/>
          <w:szCs w:val="20"/>
          <w:lang w:val="en-US"/>
        </w:rPr>
        <w:t>., 2011)</w:t>
      </w:r>
      <w:r w:rsidR="00171F8E" w:rsidRPr="00D46669">
        <w:rPr>
          <w:rFonts w:ascii="Arial" w:hAnsi="Arial" w:cs="Arial"/>
          <w:sz w:val="20"/>
          <w:szCs w:val="20"/>
          <w:lang w:val="en-US"/>
        </w:rPr>
        <w:fldChar w:fldCharType="end"/>
      </w:r>
      <w:r w:rsidRPr="00D46669">
        <w:rPr>
          <w:rFonts w:ascii="Arial" w:hAnsi="Arial" w:cs="Arial"/>
          <w:sz w:val="20"/>
          <w:szCs w:val="20"/>
          <w:lang w:val="en-US"/>
        </w:rPr>
        <w:t xml:space="preserve"> te da je poremećaj inzulinske signalizacije značajni rizični faktor za nastanak Alzheimerove bolesti </w:t>
      </w:r>
      <w:r w:rsidRPr="00D46669">
        <w:rPr>
          <w:rFonts w:ascii="Arial" w:hAnsi="Arial" w:cs="Arial"/>
          <w:sz w:val="20"/>
          <w:szCs w:val="20"/>
          <w:lang w:val="en-US"/>
        </w:rPr>
        <w:fldChar w:fldCharType="begin" w:fldLock="1"/>
      </w:r>
      <w:r w:rsidRPr="00D46669">
        <w:rPr>
          <w:rFonts w:ascii="Arial" w:hAnsi="Arial" w:cs="Arial"/>
          <w:sz w:val="20"/>
          <w:szCs w:val="20"/>
          <w:lang w:val="en-US"/>
        </w:rPr>
        <w:instrText>ADDIN CSL_CITATION { "citationItems" : [ { "id" : "ITEM-1", "itemData" : { "DOI" : "10.1186/s13195-017-0236-z", "ISSN" : "1758-9193", "PMID" : "28162091", "abstract" : "BACKGROUND The pathophysiology of insulin resistance-induced hypertension and hyperlipidemia might entail differences in dementia risk in cases with hypertension and hyperlipidemia without prior diabetes mellitus (DM). This study investigated whether incident hypertension, incident hyperlipidemia, or both, increased the dementia risk in patients with and without DM. METHODS A nationwide retrospective cohort study was conducted. The study sample was obtained from the National Health Insurance Research Database. We enrolled 10,316 patients with a new diagnosis of DM between 2000 and 2002 in the DM cohort. For the same period, we randomly selected 41,264 patients without DM in the non-DM cohort (matched by age and sex at a 1:4 ratio with the DM cohort). Both cohorts were then separately divided into four groups on the basis of incident hypertension or incident hyperlipidemia status. RESULTS In total, 51,580 patients aged between 20 and 99\u00a0years were enrolled. The dementia risk was higher in the DM cohort than in the non-DM cohort (adjusted hazard ratio (HR)\u2009=\u20091.47, 95% confidence interval (CI)\u2009=\u20091.30-1.67, p\u2009&lt;\u20090.001). In the DM cohort, the dementia risk in patients with both hypertension and hyperlipidemia did not significantly increase compared with that in those without hypertension and hyperlipidemia (p\u2009=\u20090.529). Similar results were observed in those with either hypertension (p\u2009=\u20090.341) or hyperlipidemia (p\u2009=\u20090.189). In the non-DM cohort, patients with both hypertension and hyperlipidemia had a higher dementia risk (adjusted HR\u2009=\u20091.33, 95% CI\u2009=\u20091.09-1.63, p\u2009=\u20090.006). The results remained largely unchanged in patients with only hypertension (adjusted HR\u2009=\u20091.22, 95% CI\u2009=\u20091.05-1.40, p\u2009=\u20090.008). However, the dementia risk did not increase significantly in patients with only hyperlipidemia (p\u2009=\u20090.187). CONCLUSIONS The development of hypertension, hyperlipidemia, or both, following a diagnosis of incident diabetes is secondary to diabetes onset and likely mediated through insulin resistance associated with diabetes, which does not further accentuate dementia risk. DM itself (i.e., the systemic influence of hyperglycemia) might be the main driver of increased dementia risk.", "author" : [ { "dropping-particle" : "", "family" : "Fan", "given" : "Yen-Chun", "non-dropping-particle" : "", "parse-names" : false, "suffix" : "" }, { "dropping-particle" : "", "family" : "Hsu", "given" : "Jung-Lung", "non-dropping-particle" : "", "parse-names" : false, "suffix" : "" }, { "dropping-particle" : "", "family" : "Tung", "given" : "Hong-Yi", "non-dropping-particle" : "", "parse-names" : false, "suffix" : "" }, { "dropping-particle" : "", "family" : "Chou", "given" : "Chia-Chi", "non-dropping-particle" : "", "parse-names" : false, "suffix" : "" }, { "dropping-particle" : "", "family" : "Bai", "given" : "Chyi-Huey", "non-dropping-particle" : "", "parse-names" : false, "suffix" : "" } ], "container-title" : "Alzheimer's research &amp; therapy", "id" : "ITEM-1", "issue" : "1", "issued" : { "date-parts" : [ [ "2017", "2", "6" ] ] }, "page" : "7", "publisher" : "BioMed Central", "title" : "Increased dementia risk predominantly in diabetes mellitus rather than in hypertension or hyperlipidemia: a population-based cohort study.", "type" : "article-journal", "volume" : "9" }, "uris" : [ "http://www.mendeley.com/documents/?uuid=79abd3c3-056f-3151-a8f6-115f79b454f6" ] } ], "mendeley" : { "formattedCitation" : "(Fan, Hsu, Tung, Chou, &amp; Bai, 2017)", "plainTextFormattedCitation" : "(Fan, Hsu, Tung, Chou, &amp; Bai, 2017)", "previouslyFormattedCitation" : "(Fan, Hsu, Tung, Chou, &amp; Bai, 2017)" }, "properties" : {  }, "schema" : "https://github.com/citation-style-language/schema/raw/master/csl-citation.json" }</w:instrText>
      </w:r>
      <w:r w:rsidRPr="00D46669">
        <w:rPr>
          <w:rFonts w:ascii="Arial" w:hAnsi="Arial" w:cs="Arial"/>
          <w:sz w:val="20"/>
          <w:szCs w:val="20"/>
          <w:lang w:val="en-US"/>
        </w:rPr>
        <w:fldChar w:fldCharType="separate"/>
      </w:r>
      <w:r w:rsidRPr="00D46669">
        <w:rPr>
          <w:rFonts w:ascii="Arial" w:hAnsi="Arial" w:cs="Arial"/>
          <w:noProof/>
          <w:sz w:val="20"/>
          <w:szCs w:val="20"/>
          <w:lang w:val="en-US"/>
        </w:rPr>
        <w:t>(Fan</w:t>
      </w:r>
      <w:r w:rsidR="003B2543" w:rsidRPr="00D46669">
        <w:rPr>
          <w:rFonts w:ascii="Arial" w:hAnsi="Arial" w:cs="Arial"/>
          <w:noProof/>
          <w:sz w:val="20"/>
          <w:szCs w:val="20"/>
          <w:lang w:val="en-US"/>
        </w:rPr>
        <w:t xml:space="preserve"> i sur.</w:t>
      </w:r>
      <w:r w:rsidRPr="00D46669">
        <w:rPr>
          <w:rFonts w:ascii="Arial" w:hAnsi="Arial" w:cs="Arial"/>
          <w:noProof/>
          <w:sz w:val="20"/>
          <w:szCs w:val="20"/>
          <w:lang w:val="en-US"/>
        </w:rPr>
        <w:t>, 2017)</w:t>
      </w:r>
      <w:r w:rsidRPr="00D46669">
        <w:rPr>
          <w:rFonts w:ascii="Arial" w:hAnsi="Arial" w:cs="Arial"/>
          <w:sz w:val="20"/>
          <w:szCs w:val="20"/>
          <w:lang w:val="en-US"/>
        </w:rPr>
        <w:fldChar w:fldCharType="end"/>
      </w:r>
      <w:r w:rsidRPr="00D46669">
        <w:rPr>
          <w:rFonts w:ascii="Arial" w:hAnsi="Arial" w:cs="Arial"/>
          <w:sz w:val="20"/>
          <w:szCs w:val="20"/>
          <w:lang w:val="en-US"/>
        </w:rPr>
        <w:t>.</w:t>
      </w:r>
      <w:bookmarkEnd w:id="3"/>
      <w:r w:rsidRPr="00773610">
        <w:rPr>
          <w:rFonts w:ascii="Arial" w:hAnsi="Arial" w:cs="Arial"/>
          <w:sz w:val="20"/>
          <w:szCs w:val="20"/>
          <w:lang w:val="en-US"/>
        </w:rPr>
        <w:t xml:space="preserve"> </w:t>
      </w:r>
    </w:p>
    <w:p w14:paraId="6CD6B56A" w14:textId="443E6D71" w:rsidR="00C62D59" w:rsidRPr="004709B7" w:rsidRDefault="008E12F1" w:rsidP="004709B7">
      <w:pPr>
        <w:pStyle w:val="ListParagraph"/>
        <w:numPr>
          <w:ilvl w:val="1"/>
          <w:numId w:val="8"/>
        </w:numPr>
        <w:spacing w:line="360" w:lineRule="auto"/>
        <w:outlineLvl w:val="1"/>
        <w:rPr>
          <w:b/>
        </w:rPr>
      </w:pPr>
      <w:r>
        <w:rPr>
          <w:rFonts w:ascii="Arial" w:hAnsi="Arial" w:cs="Arial"/>
          <w:b/>
          <w:lang w:val="en-US"/>
        </w:rPr>
        <w:lastRenderedPageBreak/>
        <w:t xml:space="preserve"> </w:t>
      </w:r>
      <w:r w:rsidR="004709B7" w:rsidRPr="004709B7">
        <w:rPr>
          <w:rFonts w:ascii="Arial" w:hAnsi="Arial" w:cs="Arial"/>
          <w:b/>
          <w:lang w:val="en-US"/>
        </w:rPr>
        <w:t>Štakorski model sAD</w:t>
      </w:r>
      <w:r w:rsidR="00C62D59" w:rsidRPr="004709B7">
        <w:rPr>
          <w:rFonts w:ascii="Arial" w:hAnsi="Arial" w:cs="Arial"/>
          <w:b/>
          <w:lang w:val="en-US"/>
        </w:rPr>
        <w:br/>
      </w:r>
    </w:p>
    <w:p w14:paraId="764467E8" w14:textId="4E242E64" w:rsidR="00B20184" w:rsidRPr="00D46669" w:rsidRDefault="00C931C3" w:rsidP="004709B7">
      <w:pPr>
        <w:spacing w:line="360" w:lineRule="auto"/>
        <w:jc w:val="both"/>
        <w:outlineLvl w:val="1"/>
        <w:rPr>
          <w:rFonts w:ascii="Arial" w:hAnsi="Arial" w:cs="Arial"/>
          <w:sz w:val="20"/>
          <w:szCs w:val="20"/>
        </w:rPr>
      </w:pPr>
      <w:bookmarkStart w:id="4" w:name="_Toc513114065"/>
      <w:r w:rsidRPr="004709B7">
        <w:rPr>
          <w:rFonts w:ascii="Arial" w:hAnsi="Arial" w:cs="Arial"/>
          <w:sz w:val="20"/>
          <w:szCs w:val="20"/>
          <w:shd w:val="clear" w:color="auto" w:fill="FFFFFF"/>
        </w:rPr>
        <w:t xml:space="preserve">S obzirom na nedovoljno razjašnjene mehanizme patogeneze i velike metodološke, tehničke i etičke </w:t>
      </w:r>
      <w:r w:rsidRPr="00D46669">
        <w:rPr>
          <w:rFonts w:ascii="Arial" w:hAnsi="Arial" w:cs="Arial"/>
          <w:sz w:val="20"/>
          <w:szCs w:val="20"/>
          <w:shd w:val="clear" w:color="auto" w:fill="FFFFFF"/>
        </w:rPr>
        <w:t>prepreke u istraživanju počet</w:t>
      </w:r>
      <w:r w:rsidR="004709B7" w:rsidRPr="00D46669">
        <w:rPr>
          <w:rFonts w:ascii="Arial" w:hAnsi="Arial" w:cs="Arial"/>
          <w:sz w:val="20"/>
          <w:szCs w:val="20"/>
          <w:shd w:val="clear" w:color="auto" w:fill="FFFFFF"/>
        </w:rPr>
        <w:t>ka razvoja</w:t>
      </w:r>
      <w:r w:rsidRPr="00D46669">
        <w:rPr>
          <w:rFonts w:ascii="Arial" w:hAnsi="Arial" w:cs="Arial"/>
          <w:sz w:val="20"/>
          <w:szCs w:val="20"/>
          <w:shd w:val="clear" w:color="auto" w:fill="FFFFFF"/>
        </w:rPr>
        <w:t xml:space="preserve"> bolesti na ljudima, nove znanstvene spoznaje velikim se dijelom temelje </w:t>
      </w:r>
      <w:r w:rsidR="004709B7" w:rsidRPr="00D46669">
        <w:rPr>
          <w:rFonts w:ascii="Arial" w:hAnsi="Arial" w:cs="Arial"/>
          <w:sz w:val="20"/>
          <w:szCs w:val="20"/>
          <w:shd w:val="clear" w:color="auto" w:fill="FFFFFF"/>
        </w:rPr>
        <w:t>na životinjskim eksperimentima. Č</w:t>
      </w:r>
      <w:r w:rsidRPr="00D46669">
        <w:rPr>
          <w:rFonts w:ascii="Arial" w:hAnsi="Arial" w:cs="Arial"/>
          <w:sz w:val="20"/>
          <w:szCs w:val="20"/>
          <w:shd w:val="clear" w:color="auto" w:fill="FFFFFF"/>
        </w:rPr>
        <w:t xml:space="preserve">esto se kao modeli AD koriste transgenične životinje s pojačanom ekspresijom gena povezanom sa stvaranjem </w:t>
      </w:r>
      <w:r w:rsidRPr="00D46669">
        <w:rPr>
          <w:rFonts w:ascii="Arial" w:hAnsi="Arial" w:cs="Arial"/>
          <w:sz w:val="20"/>
          <w:szCs w:val="20"/>
        </w:rPr>
        <w:t xml:space="preserve">Aβ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"DOI" : "10.1002/msj.20159", "ISSN" : "1931-7581", "PMID" : "20101721", "abstract" : "Alzheimer's disease is the most common cause of senile dementia in the United States and Europe. At present, there is no effective treatment. Given the disease's prevalence and poor prognosis, the development of animal models has been a high research priority. Transgenic modeling has been pursued on the basis of the amyloid hypothesis and has taken advantage of mutations in the amyloid precursor protein and the presenilins that cause familial forms of Alzheimer's disease. Modeling has been most aggressively pursued in mice, for which the techniques of genetic modification are well developed. Transgenic mouse models now exist that mimic a range of Alzheimer's disease-related pathologies. Although none of the models fully replicates the human disease, the models have contributed significant insights into the pathophysiology of beta-amyloid toxicity, particularly with respect to the effects of different beta-amyloid species and the possible pathogenic role of beta-amyloid oligomers. They have also been widely used in the preclinical testing of potential therapeutic modalities and have played a pivotal role in the development of immunotherapies for Alzheimer's disease that are currently in clinical trials. These models will, without a doubt, continue to play central roles in preclinical testing and be used as tools for developing insights into the biological basis of Alzheimer's disease.", "author" : [ { "dropping-particle" : "", "family" : "Elder", "given" : "Gregory A", "non-dropping-particle" : "", "parse-names" : false, "suffix" : "" }, { "dropping-particle" : "", "family" : "Gama Sosa", "given" : "Miguel A", "non-dropping-particle" : "", "parse-names" : false, "suffix" : "" }, { "dropping-particle" : "", "family" : "Gasperi", "given" : "Rita", "non-dropping-particle" : "De", "parse-names" : false, "suffix" : "" } ], "container-title" : "The Mount Sinai journal of medicine, New York", "id" : "ITEM-1", "issue" : "1", "issued" : { "date-parts" : [ [ "2010" ] ] }, "page" : "69-81", "publisher" : "NIH Public Access", "title" : "Transgenic mouse models of Alzheimer's disease.", "type" : "article-journal", "volume" : "77" }, "uris" : [ "http://www.mendeley.com/documents/?uuid=198e1e50-602b-3948-809e-b119e6c60704" ] } ], "mendeley" : { "formattedCitation" : "(Elder, Gama Sosa, &amp; De Gasperi, 2010)", "plainTextFormattedCitation" : "(Elder, Gama Sosa, &amp; De Gasperi, 2010)", "previouslyFormattedCitation" : "(Elder, Gama Sosa, &amp; De Gasperi, 2010)" }, "properties" : {  }, "schema" : "https://github.com/citation-style-language/schema/raw/master/csl-citation.json" }</w:instrText>
      </w:r>
      <w:r w:rsidRPr="00D46669">
        <w:rPr>
          <w:rFonts w:ascii="Arial" w:hAnsi="Arial" w:cs="Arial"/>
          <w:sz w:val="20"/>
          <w:szCs w:val="20"/>
        </w:rPr>
        <w:fldChar w:fldCharType="separate"/>
      </w:r>
      <w:r w:rsidRPr="00D46669">
        <w:rPr>
          <w:rFonts w:ascii="Arial" w:hAnsi="Arial" w:cs="Arial"/>
          <w:noProof/>
          <w:sz w:val="20"/>
          <w:szCs w:val="20"/>
        </w:rPr>
        <w:t>(Elder</w:t>
      </w:r>
      <w:r w:rsidR="00587AC6" w:rsidRPr="00D46669">
        <w:rPr>
          <w:rFonts w:ascii="Arial" w:hAnsi="Arial" w:cs="Arial"/>
          <w:noProof/>
          <w:sz w:val="20"/>
          <w:szCs w:val="20"/>
        </w:rPr>
        <w:t xml:space="preserve"> i sur.</w:t>
      </w:r>
      <w:r w:rsidRPr="00D46669">
        <w:rPr>
          <w:rFonts w:ascii="Arial" w:hAnsi="Arial" w:cs="Arial"/>
          <w:noProof/>
          <w:sz w:val="20"/>
          <w:szCs w:val="20"/>
        </w:rPr>
        <w:t>, 2010)</w:t>
      </w:r>
      <w:r w:rsidRPr="00D46669">
        <w:rPr>
          <w:rFonts w:ascii="Arial" w:hAnsi="Arial" w:cs="Arial"/>
          <w:sz w:val="20"/>
          <w:szCs w:val="20"/>
        </w:rPr>
        <w:fldChar w:fldCharType="end"/>
      </w:r>
      <w:r w:rsidRPr="00D46669">
        <w:rPr>
          <w:rFonts w:ascii="Arial" w:hAnsi="Arial" w:cs="Arial"/>
          <w:sz w:val="20"/>
          <w:szCs w:val="20"/>
        </w:rPr>
        <w:t>. Kako je podloga nastakna bolesti u ovim modelima genetska, ovakav je pristup opravdan i vrlo vrijedan u razjašnjavanju obiteljskog oblika bolesti, ali ne omogućava nam proučavanje patogeneze zna</w:t>
      </w:r>
      <w:r w:rsidR="004709B7" w:rsidRPr="00D46669">
        <w:rPr>
          <w:rFonts w:ascii="Arial" w:hAnsi="Arial" w:cs="Arial"/>
          <w:sz w:val="20"/>
          <w:szCs w:val="20"/>
        </w:rPr>
        <w:t>tno češćeg, sporadičnog oblika</w:t>
      </w:r>
      <w:r w:rsidRPr="00D46669">
        <w:rPr>
          <w:rFonts w:ascii="Arial" w:hAnsi="Arial" w:cs="Arial"/>
          <w:sz w:val="20"/>
          <w:szCs w:val="20"/>
        </w:rPr>
        <w:t xml:space="preserve">. Za model sAD predložen je ne-transgenični štakorski model AD koji se dobiva intracerebroventrikularnom administracijom streptozotocina (STZ-icv)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"DOI" : "10.1007/s00702-012-0877-9", "ISSN" : "1435-1463", "PMID" : "22886150", "abstract" : "Experimental models that faithfully mimic the developmental pathology of sporadic Alzheimer's disease (sAD) in humans are important for testing the novel therapeutic approaches in sAD treatment. Widely used transgenic mice AD models have provided valuable insights into the molecular mechanisms underlying the memory decline but, due to the particular \u03b2-amyloid-related gene manipulation, they resemble the familial but not the sporadic AD form, and are, therefore, inappropriate for this purpose. In line with the recent findings of sAD being recognised as an insulin resistant brains state (IRBS), a new, non-transgenic, animal model has been proposed as a representative model of sAD, developed by intracerebroventricular application of the betacytotoxic drug streptozotocin (STZ-icv). The STZ-icv-treated animals (mostly rats and mice) develop IRBS associated with memory impairment and progressive cholinergic deficits, glucose hypometabolism, oxidative stress and neurodegeneration that share many features in common with sAD in humans. The therapeutic strategies (acetylcholinesterase inhibitors, antioxidants and many other drugs) that have been tested until now on the STZ-icv animal model have been reviewed and the comparability of the drugs' efficacy in this non-transgenic sAD model and the results from clinical trials on sAD patients, evaluated.", "author" : [ { "dropping-particle" : "", "family" : "Salkovic-Petrisic", "given" : "Melita", "non-dropping-particle" : "", "parse-names" : false, "suffix" : "" }, { "dropping-particle" : "", "family" : "Knezovic", "given" : "Ana", "non-dropping-particle" : "", "parse-names" : false, "suffix" : "" }, { "dropping-particle" : "", "family" : "Hoyer", "given" : "Siegfried", "non-dropping-particle" : "", "parse-names" : false, "suffix" : "" }, { "dropping-particle" : "", "family" : "Riederer", "given" : "Peter", "non-dropping-particle" : "", "parse-names" : false, "suffix" : "" } ], "container-title" : "Journal of neural transmission (Vienna, Austria : 1996)", "id" : "ITEM-1", "issue" : "1", "issued" : { "date-parts" : [ [ "2013", "1" ] ] }, "page" : "233-52", "title" : "What have we learned from the streptozotocin-induced animal model of sporadic Alzheimer's disease, about the therapeutic strategies in Alzheimer's research.", "type" : "article-journal", "volume" : "120" }, "uris" : [ "http://www.mendeley.com/documents/?uuid=22b7da7e-be04-3ff6-a379-d39256c3d302" ] } ], "mendeley" : { "formattedCitation" : "(Salkovic-Petrisic, Knezovic, Hoyer, &amp; Riederer, 2013)", "plainTextFormattedCitation" : "(Salkovic-Petrisic, Knezovic, Hoyer, &amp; Riederer, 2013)", "previouslyFormattedCitation" : "(Salkovic-Petrisic, Knezovic, Hoyer, &amp; Riederer, 2013)" }, "properties" : {  }, "schema" : "https://github.com/citation-style-language/schema/raw/master/csl-citation.json" }</w:instrText>
      </w:r>
      <w:r w:rsidRPr="00D46669">
        <w:rPr>
          <w:rFonts w:ascii="Arial" w:hAnsi="Arial" w:cs="Arial"/>
          <w:sz w:val="20"/>
          <w:szCs w:val="20"/>
        </w:rPr>
        <w:fldChar w:fldCharType="separate"/>
      </w:r>
      <w:r w:rsidR="008E12F1">
        <w:rPr>
          <w:rFonts w:ascii="Arial" w:hAnsi="Arial" w:cs="Arial"/>
          <w:noProof/>
          <w:sz w:val="20"/>
          <w:szCs w:val="20"/>
        </w:rPr>
        <w:t>(Šalkovic-Petrišić</w:t>
      </w:r>
      <w:r w:rsidR="00587AC6" w:rsidRPr="00D46669">
        <w:rPr>
          <w:rFonts w:ascii="Arial" w:hAnsi="Arial" w:cs="Arial"/>
          <w:noProof/>
          <w:sz w:val="20"/>
          <w:szCs w:val="20"/>
        </w:rPr>
        <w:t xml:space="preserve"> i sur.</w:t>
      </w:r>
      <w:r w:rsidRPr="00D46669">
        <w:rPr>
          <w:rFonts w:ascii="Arial" w:hAnsi="Arial" w:cs="Arial"/>
          <w:noProof/>
          <w:sz w:val="20"/>
          <w:szCs w:val="20"/>
        </w:rPr>
        <w:t>, 2013)</w:t>
      </w:r>
      <w:r w:rsidRPr="00D46669">
        <w:rPr>
          <w:rFonts w:ascii="Arial" w:hAnsi="Arial" w:cs="Arial"/>
          <w:sz w:val="20"/>
          <w:szCs w:val="20"/>
        </w:rPr>
        <w:fldChar w:fldCharType="end"/>
      </w:r>
      <w:r w:rsidRPr="00D46669">
        <w:rPr>
          <w:rFonts w:ascii="Arial" w:hAnsi="Arial" w:cs="Arial"/>
          <w:sz w:val="20"/>
          <w:szCs w:val="20"/>
        </w:rPr>
        <w:t>. Streptozotocin (STZ) betacitotoksični je spoj koji se u istraživanjima na životinjama koristi za generiranje modela šećerne b</w:t>
      </w:r>
      <w:r w:rsidR="00587AC6" w:rsidRPr="00D46669">
        <w:rPr>
          <w:rFonts w:ascii="Arial" w:hAnsi="Arial" w:cs="Arial"/>
          <w:sz w:val="20"/>
          <w:szCs w:val="20"/>
        </w:rPr>
        <w:t>o</w:t>
      </w:r>
      <w:r w:rsidRPr="00D46669">
        <w:rPr>
          <w:rFonts w:ascii="Arial" w:hAnsi="Arial" w:cs="Arial"/>
          <w:sz w:val="20"/>
          <w:szCs w:val="20"/>
        </w:rPr>
        <w:t xml:space="preserve">lesti tipa 1 (periferna administracija visoke doze) i šećerne bolesti tipa 2 (višekratna periferna administracija niskih doza)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"ISSN" : "0862-8408", "PMID" : "11829314", "abstract" : "Alloxan and streptozotocin are widely used to induce experimental diabetes in animals. The mechanism of their action in B cells of the pancreas has been intensively investigated and now is quite well understood. The cytotoxic action of both these diabetogenic agents is mediated by reactive oxygen species, however, the source of their generation is different in the case of alloxan and streptozotocin. Alloxan and the product of its reduction, dialuric acid, establish a redox cycle with the formation of superoxide radicals. These radicals undergo dismutation to hydrogen peroxide. Thereafter highly reactive hydroxyl radicals are formed by the Fenton reaction. The action of reactive oxygen species with a simultaneous massive increase in cytosolic calcium concentration causes rapid destruction of B cells. Streptozotocin enters the B cell via a glucose transporter (GLUT2) and causes alkylation of DNA. DNA damage induces activation of poly ADP-ribosylation, a process that is more important for the diabetogenicity of streptozotocin than DNA damage itself. Poly ADP-ribosylation leads to depletion of cellular NAD+ and ATP. Enhanced ATP dephosphorylation after streptozotocin treatment supplies a substrate for xanthine oxidase resulting in the formation of superoxide radicals. Consequently, hydrogen peroxide and hydroxyl radicals are also generated. Furthermore, streptozotocin liberates toxic amounts of nitric oxide that inhibits aconitase activity and participates in DNA damage. As a result of the streptozotocin action, B cells undergo the destruction by necrosis.", "author" : [ { "dropping-particle" : "", "family" : "Szkudelski", "given" : "T", "non-dropping-particle" : "", "parse-names" : false, "suffix" : "" } ], "container-title" : "Physiological research", "id" : "ITEM-1", "issue" : "6", "issued" : { "date-parts" : [ [ "2001" ] ] }, "page" : "537-46", "title" : "The mechanism of alloxan and streptozotocin action in B cells of the rat pancreas.", "type" : "article-journal", "volume" : "50" }, "uris" : [ "http://www.mendeley.com/documents/?uuid=d58b084a-4057-3d25-b549-fab4e7ab093d" ] } ], "mendeley" : { "formattedCitation" : "(Szkudelski, 2001)", "plainTextFormattedCitation" : "(Szkudelski, 2001)", "previouslyFormattedCitation" : "(Szkudelski, 2001)" }, "properties" : {  }, "schema" : "https://github.com/citation-style-language/schema/raw/master/csl-citation.json" }</w:instrText>
      </w:r>
      <w:r w:rsidRPr="00D46669">
        <w:rPr>
          <w:rFonts w:ascii="Arial" w:hAnsi="Arial" w:cs="Arial"/>
          <w:sz w:val="20"/>
          <w:szCs w:val="20"/>
        </w:rPr>
        <w:fldChar w:fldCharType="separate"/>
      </w:r>
      <w:r w:rsidRPr="00D46669">
        <w:rPr>
          <w:rFonts w:ascii="Arial" w:hAnsi="Arial" w:cs="Arial"/>
          <w:noProof/>
          <w:sz w:val="20"/>
          <w:szCs w:val="20"/>
        </w:rPr>
        <w:t>(Szkudelski, 2001)</w:t>
      </w:r>
      <w:r w:rsidRPr="00D46669">
        <w:rPr>
          <w:rFonts w:ascii="Arial" w:hAnsi="Arial" w:cs="Arial"/>
          <w:sz w:val="20"/>
          <w:szCs w:val="20"/>
        </w:rPr>
        <w:fldChar w:fldCharType="end"/>
      </w:r>
      <w:r w:rsidRPr="00D46669">
        <w:rPr>
          <w:rFonts w:ascii="Arial" w:hAnsi="Arial" w:cs="Arial"/>
          <w:sz w:val="20"/>
          <w:szCs w:val="20"/>
        </w:rPr>
        <w:t xml:space="preserve">. Administracija niskih doza STZ intracerebroventrikularno dovodi do moždane inzulinske rezistencije (eng. insulin resistant brain state; IRBS) </w:t>
      </w:r>
      <w:r w:rsidRPr="00D46669">
        <w:rPr>
          <w:rFonts w:ascii="Arial" w:hAnsi="Arial" w:cs="Arial"/>
          <w:sz w:val="20"/>
          <w:szCs w:val="20"/>
        </w:rPr>
        <w:fldChar w:fldCharType="begin" w:fldLock="1"/>
      </w:r>
      <w:r w:rsidR="00171F8E" w:rsidRPr="00D46669">
        <w:rPr>
          <w:rFonts w:ascii="Arial" w:hAnsi="Arial" w:cs="Arial"/>
          <w:sz w:val="20"/>
          <w:szCs w:val="20"/>
        </w:rPr>
        <w:instrText>ADDIN CSL_CITATION { "citationItems" : [ { "id" : "ITEM-1", "itemData" : { "DOI" : "10.1016/j.euroneuro.2010.11.009", "ISSN" : "0924977X", "abstract" : "Brain insulin receptors (IRs) have been suggested as an important regulatory factor for cognitive functions but the involvement of IR signaling in memory deficit associated with neurodegenerative conditions is not yet explored. In the present study, IR gene expression was studied by RT-PCR and signaling pathways by immunoblotting in CA1, DG and CA3 subregions of hippocampus in intracerebroventricular (ICV) administered streptozotocin (STZ, 3mg/kg twice) induced memory deficit model in rat. The effect of pre- and post-treatment of donepezil (5mg/kg po) and melatonin (20mg/kg po) on signaling pathways were studied. Effect of LY294002 (ICV), a PI3 Kinase inhibitor, was also investigated on memory functions and Akt phosphorylation. An increased IR expression (both gene and protein), phosphorylation of Shc, Erk1/2, IRS-1 and Akt in CA1 and CA3 region of P2M fraction was observed after training as compared to control. STZ treated rats showed memory deficit and significant decrease in IR expression, phosphorylation of IRS-1 and Akt only in CA3 region as compared to trained group which were reversed by pre and post-treatment of melatonin but donepezil was effective only against memory deficit. LY294002 (3mM) treatment showed delayed learning and decrease in Akt phosphorylation. This study suggests that IR expression and its signaling pathways in hippocampal CA1 and CA3 regions are involved in memory functions and STZ (ICV) induced memory deficit. Hippocampal IR system might be playing an important role in regulation of memory functions, however only IR/IRS-1/Akt pathway in CA3 region is associated with STZ induced memory deficit.", "author" : [ { "dropping-particle" : "", "family" : "Agrawal", "given" : "Rahul", "non-dropping-particle" : "", "parse-names" : false, "suffix" : "" }, { "dropping-particle" : "", "family" : "Tyagi", "given" : "Ethika", "non-dropping-particle" : "", "parse-names" : false, "suffix" : "" }, { "dropping-particle" : "", "family" : "Shukla", "given" : "Rakesh", "non-dropping-particle" : "", "parse-names" : false, "suffix" : "" }, { "dropping-particle" : "", "family" : "Nath", "given" : "Chandishwar", "non-dropping-particle" : "", "parse-names" : false, "suffix" : "" } ], "container-title" : "European Neuropsychopharmacology", "id" : "ITEM-1", "issue" : "3", "issued" : { "date-parts" : [ [ "2011" ] ] }, "page" : "261-273", "title" : "Insulin receptor signaling in rat hippocampus: A study in STZ (ICV) induced memory deficit model", "type" : "article-journal", "volume" : "21" }, "uris" : [ "http://www.mendeley.com/documents/?uuid=91cf0de0-6ba6-3629-93ed-bab5dcd20ac2" ] }, { "id" : "ITEM-2", "itemData" : { "DOI" : "10.1111/j.1471-4159.2006.04368.x", "ISSN" : "0022-3042", "PMID" : "17448147", "abstract" : "The intracerebroventricular (icv) application of streptozotocin (STZ) in low dosage was used in 3-month-old rats to explore brain insulin system dysfunction. Three months following STZ icv treatment, the expression of insulin-1 and -2 mRNA was significantly reduced to 11% in hippocampus and to 28% in frontoparietal cerebral cortex, respectively. Insulin receptor (IR) mRNA expression decreased significantly in frontoparietal cerebral cortex and hippocampus (16% and 33% of control). At the protein/activity level, different abnormalities of protein tyrosine kinase activity (increase in hippocampus), total IR beta-subunit (decrease in hypothalamus) and phosphorylated IR tyrosine residues (increase) became apparent. The STZ-induced disturbance in learning and memory capacities was not abolished by icv application of glucose transport inhibitors known to prevent STZ-induced diabetes mellitus. The discrepancy between reduced IR gene expression and increase in both phosphorylated IR tyrosine residues/protein tyrosine kinase activity may indicate imbalance between phosphorylation/dephosphorylation of the IR beta-subunit causing its dysfunction. These abnormalities may point to a complex brain insulin system dysfunction after STZ icv application, which may lead to an increase in hyperphosphorylated tau-protein concentration. Brain insulin system dysfunction is discussed as possible pathological core in the generation of hyperphosphorylated tau protein as a morphological marker of sporadic Alzheimer's disease.", "author" : [ { "dropping-particle" : "", "family" : "Gr\u00fcnblatt", "given" : "Edna", "non-dropping-particle" : "", "parse-names" : false, "suffix" : "" }, { "dropping-particle" : "", "family" : "Salkovic-Petrisic", "given" : "Melita", "non-dropping-particle" : "", "parse-names" : false, "suffix" : "" }, { "dropping-particle" : "", "family" : "Osmanovic", "given" : "Jelena", "non-dropping-particle" : "", "parse-names" : false, "suffix" : "" }, { "dropping-particle" : "", "family" : "Riederer", "given" : "Peter", "non-dropping-particle" : "", "parse-names" : false, "suffix" : "" }, { "dropping-particle" : "", "family" : "Hoyer", "given" : "Siegfried", "non-dropping-particle" : "", "parse-names" : false, "suffix" : "" } ], "container-title" : "Journal of neurochemistry", "id" : "ITEM-2", "issue" : "3", "issued" : { "date-parts" : [ [ "2007", "5" ] ] }, "page" : "757-70", "title" : "Brain insulin system dysfunction in streptozotocin intracerebroventricularly treated rats generates hyperphosphorylated tau protein.", "type" : "article-journal", "volume" : "101" }, "uris" : [ "http://www.mendeley.com/documents/?uuid=7128db51-216a-31bc-a01b-bfa58f62813a" ] } ], "mendeley" : { "formattedCitation" : "(Agrawal, Tyagi, Shukla, &amp; Nath, 2011; Gr\u00fcnblatt, Salkovic-Petrisic, Osmanovic, Riederer, &amp; Hoyer, 2007)", "plainTextFormattedCitation" : "(Agrawal, Tyagi, Shukla, &amp; Nath, 2011; Gr\u00fcnblatt, Salkovic-Petrisic, Osmanovic, Riederer, &amp; Hoyer, 2007)", "previouslyFormattedCitation" : "(Agrawal, Tyagi, Shukla, &amp; Nath, 2011; Gr\u00fcnblatt, Salkovic-Petrisic, Osmanovic, Riederer, &amp; Hoyer, 2007)" }, "properties" : {  }, "schema" : "https://github.com/citation-style-language/schema/raw/master/csl-citation.json" }</w:instrText>
      </w:r>
      <w:r w:rsidRPr="00D46669">
        <w:rPr>
          <w:rFonts w:ascii="Arial" w:hAnsi="Arial" w:cs="Arial"/>
          <w:sz w:val="20"/>
          <w:szCs w:val="20"/>
        </w:rPr>
        <w:fldChar w:fldCharType="separate"/>
      </w:r>
      <w:r w:rsidR="00171F8E" w:rsidRPr="00D46669">
        <w:rPr>
          <w:rFonts w:ascii="Arial" w:hAnsi="Arial" w:cs="Arial"/>
          <w:noProof/>
          <w:sz w:val="20"/>
          <w:szCs w:val="20"/>
        </w:rPr>
        <w:t>(Agrawal</w:t>
      </w:r>
      <w:r w:rsidR="00C648A3" w:rsidRPr="00D46669">
        <w:rPr>
          <w:rFonts w:ascii="Arial" w:hAnsi="Arial" w:cs="Arial"/>
          <w:noProof/>
          <w:sz w:val="20"/>
          <w:szCs w:val="20"/>
        </w:rPr>
        <w:t xml:space="preserve"> i sur.</w:t>
      </w:r>
      <w:r w:rsidR="00171F8E" w:rsidRPr="00D46669">
        <w:rPr>
          <w:rFonts w:ascii="Arial" w:hAnsi="Arial" w:cs="Arial"/>
          <w:noProof/>
          <w:sz w:val="20"/>
          <w:szCs w:val="20"/>
        </w:rPr>
        <w:t>, 2011; Grünblatt</w:t>
      </w:r>
      <w:r w:rsidR="00C648A3" w:rsidRPr="00D46669">
        <w:rPr>
          <w:rFonts w:ascii="Arial" w:hAnsi="Arial" w:cs="Arial"/>
          <w:noProof/>
          <w:sz w:val="20"/>
          <w:szCs w:val="20"/>
        </w:rPr>
        <w:t xml:space="preserve"> i sur.</w:t>
      </w:r>
      <w:r w:rsidR="00171F8E" w:rsidRPr="00D46669">
        <w:rPr>
          <w:rFonts w:ascii="Arial" w:hAnsi="Arial" w:cs="Arial"/>
          <w:noProof/>
          <w:sz w:val="20"/>
          <w:szCs w:val="20"/>
        </w:rPr>
        <w:t>, 2007)</w:t>
      </w:r>
      <w:r w:rsidRPr="00D46669">
        <w:rPr>
          <w:rFonts w:ascii="Arial" w:hAnsi="Arial" w:cs="Arial"/>
          <w:sz w:val="20"/>
          <w:szCs w:val="20"/>
        </w:rPr>
        <w:fldChar w:fldCharType="end"/>
      </w:r>
      <w:r w:rsidRPr="00D46669">
        <w:rPr>
          <w:rFonts w:ascii="Arial" w:hAnsi="Arial" w:cs="Arial"/>
          <w:sz w:val="20"/>
          <w:szCs w:val="20"/>
        </w:rPr>
        <w:t xml:space="preserve">, cerebralnog hipometabolizma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"ISSN" : "0303-6995", "PMID" : "17982895", "abstract" : "The triplicate intracerebroventricular (icv) application of the diabetogenic compound streptozotocin (STZ) in low dosage was used in 1-year-old male Wistar rats to induce a damage of the neuronal insulin signal transduction (IST) system and to investigate the activities of hexokinase (HK), phosphofructokinase (PFK), glyceraldehyde-3-phosphate dehydrogenase (GDH), pyruvate kinase (PK), lactate dehydrogenase (LDH) and alpha-ketoglutarate dehydrogenase (alpha-KGDH) in frontoparietotemporal brain cortex (ct) and hippocampus (h) 9 weeks after damage. In parallel, the concentrations of adenosine triphosphate (ATP), adenosine diphosphate (ADP), guanosine triphosphate (GTP) and creatine phosphate (CrP) were determined. We found reductions of HK to 53% (ct) and 60% (h) of control, PFK to 63/64% (ct/h); GDH to 56/61% (ct/h), PFK to 57/59% (ct/h), alpha-KGDH to 37/35% (ct/h) and an increase of LDH to 300/240% (ct/h). ATP decreased to 82/87% (ct/h) of control, GTP to 69/81% (ct/h), CrP to 82/81% (ct/h), approximately P to 82/82% (ct/h), whereas ADP increased to 189/154% (ct/h). The fall of the activities of the glycolytic enzymes HK, PFK, GDH and PK was found to be more marked after 9 weeks of damage when compared with 3- and 6-week damage whereas the diminution in the concentration of energy rich compound was stably reduced by between 20 and 10% relative to control. The abnormalities in glucose/energy metabolism were discussed in relation to tau-protein mismetabolism of experimental animals, and of sporadic AD.", "author" : [ { "dropping-particle" : "", "family" : "Hoyer", "given" : "S", "non-dropping-particle" : "", "parse-names" : false, "suffix" : "" }, { "dropping-particle" : "", "family" : "Lannert", "given" : "H", "non-dropping-particle" : "", "parse-names" : false, "suffix" : "" } ], "container-title" : "Journal of neural transmission. Supplementum", "id" : "ITEM-1", "issue" : "72", "issued" : { "date-parts" : [ [ "2007" ] ] }, "page" : "195-202", "title" : "Long-term abnormalities in brain glucose/energy metabolism after inhibition of the neuronal insulin receptor: implication of tau-protein.", "type" : "article-journal" }, "uris" : [ "http://www.mendeley.com/documents/?uuid=819891dd-2e34-36a8-9cd6-ab99af83e666" ] } ], "mendeley" : { "formattedCitation" : "(Hoyer &amp; Lannert, 2007)", "plainTextFormattedCitation" : "(Hoyer &amp; Lannert, 2007)", "previouslyFormattedCitation" : "(Hoyer &amp; Lannert, 2007)" }, "properties" : {  }, "schema" : "https://github.com/citation-style-language/schema/raw/master/csl-citation.json" }</w:instrText>
      </w:r>
      <w:r w:rsidRPr="00D46669">
        <w:rPr>
          <w:rFonts w:ascii="Arial" w:hAnsi="Arial" w:cs="Arial"/>
          <w:sz w:val="20"/>
          <w:szCs w:val="20"/>
        </w:rPr>
        <w:fldChar w:fldCharType="separate"/>
      </w:r>
      <w:r w:rsidRPr="00D46669">
        <w:rPr>
          <w:rFonts w:ascii="Arial" w:hAnsi="Arial" w:cs="Arial"/>
          <w:noProof/>
          <w:sz w:val="20"/>
          <w:szCs w:val="20"/>
        </w:rPr>
        <w:t xml:space="preserve">(Hoyer </w:t>
      </w:r>
      <w:r w:rsidR="00653B61" w:rsidRPr="00D46669">
        <w:rPr>
          <w:rFonts w:ascii="Arial" w:hAnsi="Arial" w:cs="Arial"/>
          <w:noProof/>
          <w:sz w:val="20"/>
          <w:szCs w:val="20"/>
        </w:rPr>
        <w:t>i</w:t>
      </w:r>
      <w:r w:rsidRPr="00D46669">
        <w:rPr>
          <w:rFonts w:ascii="Arial" w:hAnsi="Arial" w:cs="Arial"/>
          <w:noProof/>
          <w:sz w:val="20"/>
          <w:szCs w:val="20"/>
        </w:rPr>
        <w:t xml:space="preserve"> Lannert, 2007)</w:t>
      </w:r>
      <w:r w:rsidRPr="00D46669">
        <w:rPr>
          <w:rFonts w:ascii="Arial" w:hAnsi="Arial" w:cs="Arial"/>
          <w:sz w:val="20"/>
          <w:szCs w:val="20"/>
        </w:rPr>
        <w:fldChar w:fldCharType="end"/>
      </w:r>
      <w:r w:rsidRPr="00D46669">
        <w:rPr>
          <w:rFonts w:ascii="Arial" w:hAnsi="Arial" w:cs="Arial"/>
          <w:sz w:val="20"/>
          <w:szCs w:val="20"/>
        </w:rPr>
        <w:t xml:space="preserve">, smanjene kolinergične neurotransmisije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"DOI" : "10.1016/j.bbr.2016.08.057", "ISSN" : "1872-7549", "PMID" : "27585561", "abstract" : "The majority of Alzheimer's disease (AD) cases are sporadic and aging is the major risk factor for developing the disease, affecting more women than men. In spite of different gender prevalence, most experimental studies in animal models have been performed in male. This study investigates the streptozotocin (STZ)-induced AD model at three different times (2, 4 and 8 weeks afterwards) and in male and female rats, evaluating cognitive deficit, cholinergic neurotransmission, glucose uptake, glutathione content and specific glial markers (GFAP and S100B protein) in the hippocampus of the rat. Our data reinforce the relevance of alterations in STZ model of dementia, reported in the genesis and/or progression of AD such as cholinergic deficit and glucose uptake decrease. All alterations in these parameters (except GFAP) were dependent on sex. It is unclear, at this moment, which alterations are due to sex steroid modulation. In spite of limitations of this experimental model, these data may contribute to understand AD susceptibility and progression dependent on sex.", "author" : [ { "dropping-particle" : "", "family" : "Biasibetti", "given" : "Regina", "non-dropping-particle" : "", "parse-names" : false, "suffix" : "" }, { "dropping-particle" : "", "family" : "Almeida Dos Santos", "given" : "Jo\u00e3o Paulo", "non-dropping-particle" : "", "parse-names" : false, "suffix" : "" }, { "dropping-particle" : "", "family" : "Rodrigues", "given" : "Let\u00edcia", "non-dropping-particle" : "", "parse-names" : false, "suffix" : "" }, { "dropping-particle" : "", "family" : "Wartchow", "given" : "Krista Min\u00e9ia", "non-dropping-particle" : "", "parse-names" : false, "suffix" : "" }, { "dropping-particle" : "", "family" : "Suardi", "given" : "Lucas Zingano", "non-dropping-particle" : "", "parse-names" : false, "suffix" : "" }, { "dropping-particle" : "", "family" : "Nardin", "given" : "Patr\u00edcia", "non-dropping-particle" : "", "parse-names" : false, "suffix" : "" }, { "dropping-particle" : "", "family" : "Selistre", "given" : "Nicholas Guerini", "non-dropping-particle" : "", "parse-names" : false, "suffix" : "" }, { "dropping-particle" : "", "family" : "V\u00e1zquez", "given" : "Dandara", "non-dropping-particle" : "", "parse-names" : false, "suffix" : "" }, { "dropping-particle" : "", "family" : "Gon\u00e7alves", "given" : "Carlos-Alberto", "non-dropping-particle" : "", "parse-names" : false, "suffix" : "" } ], "container-title" : "Behavioural brain research", "id" : "ITEM-1", "issued" : { "date-parts" : [ [ "2017", "1", "1" ] ] }, "page" : "205-214", "title" : "Hippocampal changes in STZ-model of Alzheimer's disease are dependent on sex.", "type" : "article-journal", "volume" : "316" }, "uris" : [ "http://www.mendeley.com/documents/?uuid=76a95a5f-9926-3632-aeab-48462deda3cd" ] } ], "mendeley" : { "formattedCitation" : "(Biasibetti et al., 2017)", "plainTextFormattedCitation" : "(Biasibetti et al., 2017)", "previouslyFormattedCitation" : "(Biasibetti et al., 2017)" }, "properties" : {  }, "schema" : "https://github.com/citation-style-language/schema/raw/master/csl-citation.json" }</w:instrText>
      </w:r>
      <w:r w:rsidRPr="00D46669">
        <w:rPr>
          <w:rFonts w:ascii="Arial" w:hAnsi="Arial" w:cs="Arial"/>
          <w:sz w:val="20"/>
          <w:szCs w:val="20"/>
        </w:rPr>
        <w:fldChar w:fldCharType="separate"/>
      </w:r>
      <w:r w:rsidRPr="00D46669">
        <w:rPr>
          <w:rFonts w:ascii="Arial" w:hAnsi="Arial" w:cs="Arial"/>
          <w:noProof/>
          <w:sz w:val="20"/>
          <w:szCs w:val="20"/>
        </w:rPr>
        <w:t xml:space="preserve">(Biasibetti </w:t>
      </w:r>
      <w:r w:rsidR="00C648A3" w:rsidRPr="00D46669">
        <w:rPr>
          <w:rFonts w:ascii="Arial" w:hAnsi="Arial" w:cs="Arial"/>
          <w:noProof/>
          <w:sz w:val="20"/>
          <w:szCs w:val="20"/>
        </w:rPr>
        <w:t>i sur</w:t>
      </w:r>
      <w:r w:rsidRPr="00D46669">
        <w:rPr>
          <w:rFonts w:ascii="Arial" w:hAnsi="Arial" w:cs="Arial"/>
          <w:noProof/>
          <w:sz w:val="20"/>
          <w:szCs w:val="20"/>
        </w:rPr>
        <w:t>., 2017)</w:t>
      </w:r>
      <w:r w:rsidRPr="00D46669">
        <w:rPr>
          <w:rFonts w:ascii="Arial" w:hAnsi="Arial" w:cs="Arial"/>
          <w:sz w:val="20"/>
          <w:szCs w:val="20"/>
        </w:rPr>
        <w:fldChar w:fldCharType="end"/>
      </w:r>
      <w:r w:rsidRPr="00D46669">
        <w:rPr>
          <w:rFonts w:ascii="Arial" w:hAnsi="Arial" w:cs="Arial"/>
          <w:sz w:val="20"/>
          <w:szCs w:val="20"/>
        </w:rPr>
        <w:t xml:space="preserve">, oksidativnog stresa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"DOI" : "10.1515/jbcpp-2013-0150", "ISSN" : "2191-0286", "PMID" : "24756058", "abstract" : "BACKGROUND Growing evidences indicate that endogenous oxidants and antioxidant defense interact in a vicious cycle, which plays a critical role in the pathogenesis of cognitive dysfunction. In this study, we examined the effect of N-acetyl cysteine (NAC) against the intracerebroventricular infusion of streptozotocin (ICV STZ)-induced cognitive impairment and mitochondrial oxidative damage in rats. METHODS Male adult Wistar rats were injected with STZ (3 mg/kg) bilaterally through ICV. NAC (50 and 100 mg/kg) was administered for 3 weeks post-surgery. The rats were sacrificed on the 21st day following the last behavioral test, and cytoplasmic fractions of the hippocampus and cortex were prepared for the quantification of acetylcholinesterase, oxidative stress parameter, mitochondrial enzymes, inflammatory mediators and caspase-3 activity. RESULTS ICV STZ resulted in poor retention of memory in Morris water maze. It also increased the mito-oxidative damage and tumor necrosis factor-\u03b1, interleukin 6 and caspase-3 levels in the hippocampus and cortex compared to sham animals. NAC significantly improved memory retention and attenuated oxidative damage parameters, inflammatory markers in STZ-treated rats. CONCLUSIONS The results of the present study strongly indicate the effectiveness of NAC in preventing cognitive impairment as well as mito-oxidative stress and may be considered as a potential agent in the management of cognitive-related disorders.", "author" : [ { "dropping-particle" : "", "family" : "Prakash", "given" : "Atish", "non-dropping-particle" : "", "parse-names" : false, "suffix" : "" }, { "dropping-particle" : "", "family" : "Kalra", "given" : "Jaspreet Kaur", "non-dropping-particle" : "", "parse-names" : false, "suffix" : "" }, { "dropping-particle" : "", "family" : "Kumar", "given" : "Anil", "non-dropping-particle" : "", "parse-names" : false, "suffix" : "" } ], "container-title" : "Journal of basic and clinical physiology and pharmacology", "id" : "ITEM-1", "issue" : "1", "issued" : { "date-parts" : [ [ "2015", "1" ] ] }, "page" : "13-23", "title" : "Neuroprotective effect of N-acetyl cysteine against streptozotocin-induced memory dysfunction and oxidative damage in rats.", "type" : "article-journal", "volume" : "26" }, "uris" : [ "http://www.mendeley.com/documents/?uuid=525bfcc9-35b2-3b36-b6f0-00d7ae4eab2a" ] } ], "mendeley" : { "formattedCitation" : "(Prakash, Kalra, &amp; Kumar, 2015)", "plainTextFormattedCitation" : "(Prakash, Kalra, &amp; Kumar, 2015)", "previouslyFormattedCitation" : "(Prakash, Kalra, &amp; Kumar, 2015)" }, "properties" : {  }, "schema" : "https://github.com/citation-style-language/schema/raw/master/csl-citation.json" }</w:instrText>
      </w:r>
      <w:r w:rsidRPr="00D46669">
        <w:rPr>
          <w:rFonts w:ascii="Arial" w:hAnsi="Arial" w:cs="Arial"/>
          <w:sz w:val="20"/>
          <w:szCs w:val="20"/>
        </w:rPr>
        <w:fldChar w:fldCharType="separate"/>
      </w:r>
      <w:r w:rsidRPr="00D46669">
        <w:rPr>
          <w:rFonts w:ascii="Arial" w:hAnsi="Arial" w:cs="Arial"/>
          <w:noProof/>
          <w:sz w:val="20"/>
          <w:szCs w:val="20"/>
        </w:rPr>
        <w:t>(Prakash</w:t>
      </w:r>
      <w:r w:rsidR="00B20184" w:rsidRPr="00D46669">
        <w:rPr>
          <w:rFonts w:ascii="Arial" w:hAnsi="Arial" w:cs="Arial"/>
          <w:noProof/>
          <w:sz w:val="20"/>
          <w:szCs w:val="20"/>
        </w:rPr>
        <w:t xml:space="preserve"> i sur.</w:t>
      </w:r>
      <w:r w:rsidRPr="00D46669">
        <w:rPr>
          <w:rFonts w:ascii="Arial" w:hAnsi="Arial" w:cs="Arial"/>
          <w:noProof/>
          <w:sz w:val="20"/>
          <w:szCs w:val="20"/>
        </w:rPr>
        <w:t>, 2015)</w:t>
      </w:r>
      <w:r w:rsidRPr="00D46669">
        <w:rPr>
          <w:rFonts w:ascii="Arial" w:hAnsi="Arial" w:cs="Arial"/>
          <w:sz w:val="20"/>
          <w:szCs w:val="20"/>
        </w:rPr>
        <w:fldChar w:fldCharType="end"/>
      </w:r>
      <w:r w:rsidRPr="00D46669">
        <w:rPr>
          <w:rFonts w:ascii="Arial" w:hAnsi="Arial" w:cs="Arial"/>
          <w:sz w:val="20"/>
          <w:szCs w:val="20"/>
        </w:rPr>
        <w:t xml:space="preserve">, neuro-upale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"DOI" : "10.1007/s00702-017-1727-6", "ISSN" : "0300-9564", "PMID" : "28470423", "abstract" : "Accumulated evidence suggests that the insulin-resistant brain state and cerebral glucose hypometabolism might be the cause, rather than the consequence, of the neurodegeneration found in a sporadic Alzheimer's disease (sAD). We have explored whether the insulin receptor (IR) and the glucose transporter-2 (GLUT2), used here as their markers, are the early targets of intracerebroventricularly (icv) administered streptozotocin (STZ) in an STZ-icv rat model of sAD, and whether their changes are associated with the STZ-induced neuroinflammation. The expression of IR, GLUT2 and glial fibrillary acidic protein (GFAP) was measured by immunofluorescence and western blot analysis in the parietal (PC) and the temporal (TC) cortex, in the hippocampus (HPC) and the hypothalamus. One hour after the STZ-icv administration (1.5\u00a0mg/kg), the GFAP immunoreactivity was significantly increased in all four regions, thus indicating the wide spread neuroinflammation, pronounced in the PC and the HPC. Changes in the GLUT2 (increment) and the IR (decrement) expression were mild in the areas close to the site of the STZ injection/release but pronounced in the ependymal lining cells of the third ventricle, thus indicating the possible metabolic implications. These results, together with the finding of the GLUT2-IR co-expression, and also the neuronal IR expression in PC, TC and HPC, indicate that the cerebral GLUT2 and IR should be further explored as the possible sAD etiopathogenic factors. It should be further clarified whether their alterations are the effect of a direct STZ-icv toxicity or they are triggered in a response to STZ-icv induced neuroinflammation.", "author" : [ { "dropping-particle" : "", "family" : "Knezovic", "given" : "A.", "non-dropping-particle" : "", "parse-names" : false, "suffix" : "" }, { "dropping-particle" : "", "family" : "Loncar", "given" : "A.", "non-dropping-particle" : "", "parse-names" : false, "suffix" : "" }, { "dropping-particle" : "", "family" : "Homolak", "given" : "J.", "non-dropping-particle" : "", "parse-names" : false, "suffix" : "" }, { "dropping-particle" : "", "family" : "Smailovic", "given" : "U.", "non-dropping-particle" : "", "parse-names" : false, "suffix" : "" }, { "dropping-particle" : "", "family" : "Osmanovic Barilar", "given" : "J.", "non-dropping-particle" : "", "parse-names" : false, "suffix" : "" }, { "dropping-particle" : "", "family" : "Ganoci", "given" : "L.", "non-dropping-particle" : "", "parse-names" : false, "suffix" : "" }, { "dropping-particle" : "", "family" : "Bozina", "given" : "N.", "non-dropping-particle" : "", "parse-names" : false, "suffix" : "" }, { "dropping-particle" : "", "family" : "Riederer", "given" : "P.", "non-dropping-particle" : "", "parse-names" : false, "suffix" : "" }, { "dropping-particle" : "", "family" : "Salkovic-Petrisic", "given" : "Melita", "non-dropping-particle" : "", "parse-names" : false, "suffix" : "" } ], "container-title" : "Journal of Neural Transmission", "id" : "ITEM-1", "issue" : "6", "issued" : { "date-parts" : [ [ "2017", "6", "3" ] ] }, "page" : "695-708", "title" : "Rat brain glucose transporter-2, insulin receptor and glial expression are acute targets of intracerebroventricular streptozotocin: risk factors for sporadic Alzheimer?s disease?", "type" : "article-journal", "volume" : "124" }, "uris" : [ "http://www.mendeley.com/documents/?uuid=6c9cee87-c457-39b8-bd71-7050f59e72a4" ] } ], "mendeley" : { "formattedCitation" : "(A. Knezovic et al., 2017)", "plainTextFormattedCitation" : "(A. Knezovic et al., 2017)", "previouslyFormattedCitation" : "(A. Knezovic et al., 2017)" }, "properties" : {  }, "schema" : "https://github.com/citation-style-language/schema/raw/master/csl-citation.json" }</w:instrText>
      </w:r>
      <w:r w:rsidRPr="00D46669">
        <w:rPr>
          <w:rFonts w:ascii="Arial" w:hAnsi="Arial" w:cs="Arial"/>
          <w:sz w:val="20"/>
          <w:szCs w:val="20"/>
        </w:rPr>
        <w:fldChar w:fldCharType="separate"/>
      </w:r>
      <w:r w:rsidR="00B20184" w:rsidRPr="00D46669">
        <w:rPr>
          <w:rFonts w:ascii="Arial" w:hAnsi="Arial" w:cs="Arial"/>
          <w:noProof/>
          <w:sz w:val="20"/>
          <w:szCs w:val="20"/>
        </w:rPr>
        <w:t>(</w:t>
      </w:r>
      <w:r w:rsidRPr="00D46669">
        <w:rPr>
          <w:rFonts w:ascii="Arial" w:hAnsi="Arial" w:cs="Arial"/>
          <w:noProof/>
          <w:sz w:val="20"/>
          <w:szCs w:val="20"/>
        </w:rPr>
        <w:t xml:space="preserve">Knezovic </w:t>
      </w:r>
      <w:r w:rsidR="00B20184" w:rsidRPr="00D46669">
        <w:rPr>
          <w:rFonts w:ascii="Arial" w:hAnsi="Arial" w:cs="Arial"/>
          <w:noProof/>
          <w:sz w:val="20"/>
          <w:szCs w:val="20"/>
        </w:rPr>
        <w:t>i sur</w:t>
      </w:r>
      <w:r w:rsidRPr="00D46669">
        <w:rPr>
          <w:rFonts w:ascii="Arial" w:hAnsi="Arial" w:cs="Arial"/>
          <w:noProof/>
          <w:sz w:val="20"/>
          <w:szCs w:val="20"/>
        </w:rPr>
        <w:t>., 2017)</w:t>
      </w:r>
      <w:r w:rsidRPr="00D46669">
        <w:rPr>
          <w:rFonts w:ascii="Arial" w:hAnsi="Arial" w:cs="Arial"/>
          <w:sz w:val="20"/>
          <w:szCs w:val="20"/>
        </w:rPr>
        <w:fldChar w:fldCharType="end"/>
      </w:r>
      <w:r w:rsidRPr="00D46669">
        <w:rPr>
          <w:rFonts w:ascii="Arial" w:hAnsi="Arial" w:cs="Arial"/>
          <w:sz w:val="20"/>
          <w:szCs w:val="20"/>
        </w:rPr>
        <w:t xml:space="preserve"> te uzrokuje neuropatološke promjene slične onima pronađenim u sAD poput hiperfosforilacije tau proteina, nastanka neurofibrilarnih promjena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"DOI" : "10.1007/s00702-015-1394-4", "ISSN" : "1435-1463", "PMID" : "25808906", "abstract" : "Sporadic Alzheimer's disease (sAD) is the most common form of dementia. Rats injected intracerebroventricularly with streptozotocin (STZ-icv) develop insulin-resistant brain state and represent a non-transgenic sAD model with a number of AD-like cognitive and neurochemical features. We explored cognitive, structural and ultrastructural changes in the brain of the STZ-icv rat model over a course of 9 months. Cognitive functions were measured in the STZ-icv- (0.3, 1 and 3 mg/kg) and age-matched control rats by passive avoidance test. Structural changes were assessed by Nissl and Bielschowsky silver staining. Immunohistochemistry and electron microscopy analysis were used to detect amyloid \u03b2- (A\u03b2(1-42)) and hyperphosphorylated tau (AT8) accumulation and ultrastructural changes in the brain. Memory decline was time- (\u22643 months/acute, \u22653 months/progressive) and STZ-icv dose-dependent. Morphological changes were manifested as thinning of parietal cortex (\u22651 month) and corpus callosum (9 months), and were more pronounced in the 3 mg/kg STZ group. Early neurofibrillary changes (AT8) were detected from 1 month onward in the neocortex, and progressed after 3 months to the hippocampus. Intracellular A\u03b2(1-42) accumulation was found in the neocortex at 3 months following STZ-icv treatment, while diffuse A\u03b2(1-42)-positive plaque-like formations were found after 6 months in the neocortex and hippocampus. Ultrastructural changes revealed enlargement of Golgi apparatus, pyknotic nuclei, and time-dependent increase in lysosome size, number, and density. Our data provide a staging of cognitive, structural/ultrastructural, and neuropathological markers in the STZ-icv rat model that in many aspects seems to be generally comparable to stages seen in human sAD.", "author" : [ { "dropping-particle" : "", "family" : "Knezovic", "given" : "Ana", "non-dropping-particle" : "", "parse-names" : false, "suffix" : "" }, { "dropping-particle" : "", "family" : "Osmanovic-Barilar", "given" : "Jelena", "non-dropping-particle" : "", "parse-names" : false, "suffix" : "" }, { "dropping-particle" : "", "family" : "Curlin", "given" : "Marija", "non-dropping-particle" : "", "parse-names" : false, "suffix" : "" }, { "dropping-particle" : "", "family" : "Hof", "given" : "Patrick R", "non-dropping-particle" : "", "parse-names" : false, "suffix" : "" }, { "dropping-particle" : "", "family" : "Simic", "given" : "Goran", "non-dropping-particle" : "", "parse-names" : false, "suffix" : "" }, { "dropping-particle" : "", "family" : "Riederer", "given" : "Peter", "non-dropping-particle" : "", "parse-names" : false, "suffix" : "" }, { "dropping-particle" : "", "family" : "Salkovic-Petrisic", "given" : "Melita", "non-dropping-particle" : "", "parse-names" : false, "suffix" : "" } ], "container-title" : "Journal of neural transmission (Vienna, Austria : 1996)", "id" : "ITEM-1", "issue" : "4", "issued" : { "date-parts" : [ [ "2015", "4" ] ] }, "page" : "577-92", "title" : "Staging of cognitive deficits and neuropathological and ultrastructural changes in streptozotocin-induced rat model of Alzheimer's disease.", "type" : "article-journal", "volume" : "122" }, "uris" : [ "http://www.mendeley.com/documents/?uuid=2dcadcb5-3f4e-33b0-95bd-37e56de75b73" ] } ], "mendeley" : { "formattedCitation" : "(Ana Knezovic et al., 2015)", "plainTextFormattedCitation" : "(Ana Knezovic et al., 2015)", "previouslyFormattedCitation" : "(Ana Knezovic et al., 2015)" }, "properties" : {  }, "schema" : "https://github.com/citation-style-language/schema/raw/master/csl-citation.json" }</w:instrText>
      </w:r>
      <w:r w:rsidRPr="00D46669">
        <w:rPr>
          <w:rFonts w:ascii="Arial" w:hAnsi="Arial" w:cs="Arial"/>
          <w:sz w:val="20"/>
          <w:szCs w:val="20"/>
        </w:rPr>
        <w:fldChar w:fldCharType="separate"/>
      </w:r>
      <w:r w:rsidR="008E12F1">
        <w:rPr>
          <w:rFonts w:ascii="Arial" w:hAnsi="Arial" w:cs="Arial"/>
          <w:noProof/>
          <w:sz w:val="20"/>
          <w:szCs w:val="20"/>
        </w:rPr>
        <w:t>(Knezović</w:t>
      </w:r>
      <w:r w:rsidRPr="00D46669">
        <w:rPr>
          <w:rFonts w:ascii="Arial" w:hAnsi="Arial" w:cs="Arial"/>
          <w:noProof/>
          <w:sz w:val="20"/>
          <w:szCs w:val="20"/>
        </w:rPr>
        <w:t xml:space="preserve"> </w:t>
      </w:r>
      <w:r w:rsidR="00B20184" w:rsidRPr="00D46669">
        <w:rPr>
          <w:rFonts w:ascii="Arial" w:hAnsi="Arial" w:cs="Arial"/>
          <w:noProof/>
          <w:sz w:val="20"/>
          <w:szCs w:val="20"/>
        </w:rPr>
        <w:t>i sur</w:t>
      </w:r>
      <w:r w:rsidRPr="00D46669">
        <w:rPr>
          <w:rFonts w:ascii="Arial" w:hAnsi="Arial" w:cs="Arial"/>
          <w:noProof/>
          <w:sz w:val="20"/>
          <w:szCs w:val="20"/>
        </w:rPr>
        <w:t>., 2015)</w:t>
      </w:r>
      <w:r w:rsidRPr="00D46669">
        <w:rPr>
          <w:rFonts w:ascii="Arial" w:hAnsi="Arial" w:cs="Arial"/>
          <w:sz w:val="20"/>
          <w:szCs w:val="20"/>
        </w:rPr>
        <w:fldChar w:fldCharType="end"/>
      </w:r>
      <w:r w:rsidRPr="00D46669">
        <w:rPr>
          <w:rFonts w:ascii="Arial" w:hAnsi="Arial" w:cs="Arial"/>
          <w:sz w:val="20"/>
          <w:szCs w:val="20"/>
        </w:rPr>
        <w:t xml:space="preserve"> i patološkog nakupljanja Aβ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"DOI" : "10.1007/s00702-015-1394-4", "ISSN" : "1435-1463", "PMID" : "25808906", "abstract" : "Sporadic Alzheimer's disease (sAD) is the most common form of dementia. Rats injected intracerebroventricularly with streptozotocin (STZ-icv) develop insulin-resistant brain state and represent a non-transgenic sAD model with a number of AD-like cognitive and neurochemical features. We explored cognitive, structural and ultrastructural changes in the brain of the STZ-icv rat model over a course of 9 months. Cognitive functions were measured in the STZ-icv- (0.3, 1 and 3 mg/kg) and age-matched control rats by passive avoidance test. Structural changes were assessed by Nissl and Bielschowsky silver staining. Immunohistochemistry and electron microscopy analysis were used to detect amyloid \u03b2- (A\u03b2(1-42)) and hyperphosphorylated tau (AT8) accumulation and ultrastructural changes in the brain. Memory decline was time- (\u22643 months/acute, \u22653 months/progressive) and STZ-icv dose-dependent. Morphological changes were manifested as thinning of parietal cortex (\u22651 month) and corpus callosum (9 months), and were more pronounced in the 3 mg/kg STZ group. Early neurofibrillary changes (AT8) were detected from 1 month onward in the neocortex, and progressed after 3 months to the hippocampus. Intracellular A\u03b2(1-42) accumulation was found in the neocortex at 3 months following STZ-icv treatment, while diffuse A\u03b2(1-42)-positive plaque-like formations were found after 6 months in the neocortex and hippocampus. Ultrastructural changes revealed enlargement of Golgi apparatus, pyknotic nuclei, and time-dependent increase in lysosome size, number, and density. Our data provide a staging of cognitive, structural/ultrastructural, and neuropathological markers in the STZ-icv rat model that in many aspects seems to be generally comparable to stages seen in human sAD.", "author" : [ { "dropping-particle" : "", "family" : "Knezovic", "given" : "Ana", "non-dropping-particle" : "", "parse-names" : false, "suffix" : "" }, { "dropping-particle" : "", "family" : "Osmanovic-Barilar", "given" : "Jelena", "non-dropping-particle" : "", "parse-names" : false, "suffix" : "" }, { "dropping-particle" : "", "family" : "Curlin", "given" : "Marija", "non-dropping-particle" : "", "parse-names" : false, "suffix" : "" }, { "dropping-particle" : "", "family" : "Hof", "given" : "Patrick R", "non-dropping-particle" : "", "parse-names" : false, "suffix" : "" }, { "dropping-particle" : "", "family" : "Simic", "given" : "Goran", "non-dropping-particle" : "", "parse-names" : false, "suffix" : "" }, { "dropping-particle" : "", "family" : "Riederer", "given" : "Peter", "non-dropping-particle" : "", "parse-names" : false, "suffix" : "" }, { "dropping-particle" : "", "family" : "Salkovic-Petrisic", "given" : "Melita", "non-dropping-particle" : "", "parse-names" : false, "suffix" : "" } ], "container-title" : "Journal of neural transmission (Vienna, Austria : 1996)", "id" : "ITEM-1", "issue" : "4", "issued" : { "date-parts" : [ [ "2015", "4" ] ] }, "page" : "577-92", "title" : "Staging of cognitive deficits and neuropathological and ultrastructural changes in streptozotocin-induced rat model of Alzheimer's disease.", "type" : "article-journal", "volume" : "122" }, "uris" : [ "http://www.mendeley.com/documents/?uuid=2dcadcb5-3f4e-33b0-95bd-37e56de75b73" ] }, { "id" : "ITEM-2", "itemData" : { "DOI" : "10.1111/j.1471-4159.2005.03637.x", "ISSN" : "0022-3042", "PMID" : "16412093", "abstract" : "The insulin-resistant brain state is related to late-onset sporadic Alzheimer's disease, and alterations in the insulin receptor (IR) and its downstream phosphatidylinositol-3 kinase signalling pathway have been found in human brain. These findings have not been confirmed in an experimental model related to sporadic Alzheimer's disease, for example rats showing a neuronal IR deficit subsequent to intracerebroventricular (i.c.v.) treatment with streptozotocin (STZ). In this study, western blot analysis performed 1 month after i.c.v. injection of STZ showed an increase of 63% in the level of phosphorylated glycogen synthase kinase-3alpha/beta (pGSK-3alpha/beta) protein in the rat hippocampus, whereas the levels of the unphosphorylated form (GSK-3alpha/beta) and protein kinase B (Akt/PKB) remained unchanged. Three months after STZ treatment, pGSK-3alpha/beta and Akt/PKB levels tended to decrease (by 8 and 9% respectively). The changes were region specific, as a different pattern was found in frontal cortex. Structural alterations were also found, characterized by beta-amyloid peptide-like aggregates in brain capillaries of rats treated with STZ. Similar neurochemical changes and cognitive deficits were recorded in rats treated with i.c.v. 5-thio-d-glucose, a blocker of glucose transporter (GLUT)2, a transporter that is probably involved in brain glucose sensing. The IR signalling cascade alteration and its consequences in rats treated with STZ are similar to those found in humans with sporadic Alzheimer's disease, and our results suggest a role for GLUT2 in Alzheimer's pathophysiology.", "author" : [ { "dropping-particle" : "", "family" : "Salkovic-Petrisic", "given" : "Melita", "non-dropping-particle" : "", "parse-names" : false, "suffix" : "" }, { "dropping-particle" : "", "family" : "Tribl", "given" : "Florian", "non-dropping-particle" : "", "parse-names" : false, "suffix" : "" }, { "dropping-particle" : "", "family" : "Schmidt", "given" : "Manuela", "non-dropping-particle" : "", "parse-names" : false, "suffix" : "" }, { "dropping-particle" : "", "family" : "Hoyer", "given" : "Siegfried", "non-dropping-particle" : "", "parse-names" : false, "suffix" : "" }, { "dropping-particle" : "", "family" : "Riederer", "given" : "Peter", "non-dropping-particle" : "", "parse-names" : false, "suffix" : "" } ], "container-title" : "Journal of neurochemistry", "id" : "ITEM-2", "issue" : "4", "issued" : { "date-parts" : [ [ "2006", "2" ] ] }, "page" : "1005-15", "title" : "Alzheimer-like changes in protein kinase B and glycogen synthase kinase-3 in rat frontal cortex and hippocampus after damage to the insulin signalling pathway.", "type" : "article-journal", "volume" : "96" }, "uris" : [ "http://www.mendeley.com/documents/?uuid=ac98df7d-08ee-3609-8d4d-db4b69f774f7" ] } ], "mendeley" : { "formattedCitation" : "(Ana Knezovic et al., 2015; Salkovic-Petrisic, Tribl, Schmidt, Hoyer, &amp; Riederer, 2006)", "plainTextFormattedCitation" : "(Ana Knezovic et al., 2015; Salkovic-Petrisic, Tribl, Schmidt, Hoyer, &amp; Riederer, 2006)", "previouslyFormattedCitation" : "(Ana Knezovic et al., 2015; Salkovic-Petrisic, Tribl, Schmidt, Hoyer, &amp; Riederer, 2006)" }, "properties" : {  }, "schema" : "https://github.com/citation-style-language/schema/raw/master/csl-citation.json" }</w:instrText>
      </w:r>
      <w:r w:rsidRPr="00D46669">
        <w:rPr>
          <w:rFonts w:ascii="Arial" w:hAnsi="Arial" w:cs="Arial"/>
          <w:sz w:val="20"/>
          <w:szCs w:val="20"/>
        </w:rPr>
        <w:fldChar w:fldCharType="separate"/>
      </w:r>
      <w:r w:rsidR="008E12F1">
        <w:rPr>
          <w:rFonts w:ascii="Arial" w:hAnsi="Arial" w:cs="Arial"/>
          <w:noProof/>
          <w:sz w:val="20"/>
          <w:szCs w:val="20"/>
        </w:rPr>
        <w:t>(Knezović</w:t>
      </w:r>
      <w:r w:rsidRPr="00D46669">
        <w:rPr>
          <w:rFonts w:ascii="Arial" w:hAnsi="Arial" w:cs="Arial"/>
          <w:noProof/>
          <w:sz w:val="20"/>
          <w:szCs w:val="20"/>
        </w:rPr>
        <w:t xml:space="preserve"> </w:t>
      </w:r>
      <w:r w:rsidR="00B20184" w:rsidRPr="00D46669">
        <w:rPr>
          <w:rFonts w:ascii="Arial" w:hAnsi="Arial" w:cs="Arial"/>
          <w:noProof/>
          <w:sz w:val="20"/>
          <w:szCs w:val="20"/>
        </w:rPr>
        <w:t>i sur</w:t>
      </w:r>
      <w:r w:rsidR="008E12F1">
        <w:rPr>
          <w:rFonts w:ascii="Arial" w:hAnsi="Arial" w:cs="Arial"/>
          <w:noProof/>
          <w:sz w:val="20"/>
          <w:szCs w:val="20"/>
        </w:rPr>
        <w:t>., 2015; Šalkovic-Petrišić</w:t>
      </w:r>
      <w:r w:rsidR="00B20184" w:rsidRPr="00D46669">
        <w:rPr>
          <w:rFonts w:ascii="Arial" w:hAnsi="Arial" w:cs="Arial"/>
          <w:noProof/>
          <w:sz w:val="20"/>
          <w:szCs w:val="20"/>
        </w:rPr>
        <w:t xml:space="preserve"> i sur.</w:t>
      </w:r>
      <w:r w:rsidRPr="00D46669">
        <w:rPr>
          <w:rFonts w:ascii="Arial" w:hAnsi="Arial" w:cs="Arial"/>
          <w:noProof/>
          <w:sz w:val="20"/>
          <w:szCs w:val="20"/>
        </w:rPr>
        <w:t>, 2006)</w:t>
      </w:r>
      <w:r w:rsidRPr="00D46669">
        <w:rPr>
          <w:rFonts w:ascii="Arial" w:hAnsi="Arial" w:cs="Arial"/>
          <w:sz w:val="20"/>
          <w:szCs w:val="20"/>
        </w:rPr>
        <w:fldChar w:fldCharType="end"/>
      </w:r>
      <w:r w:rsidRPr="00D46669">
        <w:rPr>
          <w:rFonts w:ascii="Arial" w:hAnsi="Arial" w:cs="Arial"/>
          <w:sz w:val="20"/>
          <w:szCs w:val="20"/>
        </w:rPr>
        <w:t xml:space="preserve">. Uz navedene promjene STZ-icv uzrokuje progresivno oštećenje učenja i pamćenja </w:t>
      </w:r>
      <w:r w:rsidR="008E12F1">
        <w:rPr>
          <w:rFonts w:ascii="Arial" w:hAnsi="Arial" w:cs="Arial"/>
          <w:sz w:val="20"/>
          <w:szCs w:val="20"/>
        </w:rPr>
        <w:t>(</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"DOI" : "10.1007/s00702-015-1394-4", "ISSN" : "1435-1463", "PMID" : "25808906", "abstract" : "Sporadic Alzheimer's disease (sAD) is the most common form of dementia. Rats injected intracerebroventricularly with streptozotocin (STZ-icv) develop insulin-resistant brain state and represent a non-transgenic sAD model with a number of AD-like cognitive and neurochemical features. We explored cognitive, structural and ultrastructural changes in the brain of the STZ-icv rat model over a course of 9 months. Cognitive functions were measured in the STZ-icv- (0.3, 1 and 3 mg/kg) and age-matched control rats by passive avoidance test. Structural changes were assessed by Nissl and Bielschowsky silver staining. Immunohistochemistry and electron microscopy analysis were used to detect amyloid \u03b2- (A\u03b2(1-42)) and hyperphosphorylated tau (AT8) accumulation and ultrastructural changes in the brain. Memory decline was time- (\u22643 months/acute, \u22653 months/progressive) and STZ-icv dose-dependent. Morphological changes were manifested as thinning of parietal cortex (\u22651 month) and corpus callosum (9 months), and were more pronounced in the 3 mg/kg STZ group. Early neurofibrillary changes (AT8) were detected from 1 month onward in the neocortex, and progressed after 3 months to the hippocampus. Intracellular A\u03b2(1-42) accumulation was found in the neocortex at 3 months following STZ-icv treatment, while diffuse A\u03b2(1-42)-positive plaque-like formations were found after 6 months in the neocortex and hippocampus. Ultrastructural changes revealed enlargement of Golgi apparatus, pyknotic nuclei, and time-dependent increase in lysosome size, number, and density. Our data provide a staging of cognitive, structural/ultrastructural, and neuropathological markers in the STZ-icv rat model that in many aspects seems to be generally comparable to stages seen in human sAD.", "author" : [ { "dropping-particle" : "", "family" : "Knezovic", "given" : "Ana", "non-dropping-particle" : "", "parse-names" : false, "suffix" : "" }, { "dropping-particle" : "", "family" : "Osmanovic-Barilar", "given" : "Jelena", "non-dropping-particle" : "", "parse-names" : false, "suffix" : "" }, { "dropping-particle" : "", "family" : "Curlin", "given" : "Marija", "non-dropping-particle" : "", "parse-names" : false, "suffix" : "" }, { "dropping-particle" : "", "family" : "Hof", "given" : "Patrick R", "non-dropping-particle" : "", "parse-names" : false, "suffix" : "" }, { "dropping-particle" : "", "family" : "Simic", "given" : "Goran", "non-dropping-particle" : "", "parse-names" : false, "suffix" : "" }, { "dropping-particle" : "", "family" : "Riederer", "given" : "Peter", "non-dropping-particle" : "", "parse-names" : false, "suffix" : "" }, { "dropping-particle" : "", "family" : "Salkovic-Petrisic", "given" : "Melita", "non-dropping-particle" : "", "parse-names" : false, "suffix" : "" } ], "container-title" : "Journal of neural transmission (Vienna, Austria : 1996)", "id" : "ITEM-1", "issue" : "4", "issued" : { "date-parts" : [ [ "2015", "4" ] ] }, "page" : "577-92", "title" : "Staging of cognitive deficits and neuropathological and ultrastructural changes in streptozotocin-induced rat model of Alzheimer's disease.", "type" : "article-journal", "volume" : "122" }, "uris" : [ "http://www.mendeley.com/documents/?uuid=2dcadcb5-3f4e-33b0-95bd-37e56de75b73" ] } ], "mendeley" : { "formattedCitation" : "(Ana Knezovic et al., 2015)", "plainTextFormattedCitation" : "(Ana Knezovic et al., 2015)", "previouslyFormattedCitation" : "(Ana Knezovic et al., 2015)" }, "properties" : {  }, "schema" : "https://github.com/citation-style-language/schema/raw/master/csl-citation.json" }</w:instrText>
      </w:r>
      <w:r w:rsidRPr="00D46669">
        <w:rPr>
          <w:rFonts w:ascii="Arial" w:hAnsi="Arial" w:cs="Arial"/>
          <w:sz w:val="20"/>
          <w:szCs w:val="20"/>
        </w:rPr>
        <w:fldChar w:fldCharType="separate"/>
      </w:r>
      <w:r w:rsidR="008E12F1">
        <w:rPr>
          <w:rFonts w:ascii="Arial" w:hAnsi="Arial" w:cs="Arial"/>
          <w:noProof/>
          <w:sz w:val="20"/>
          <w:szCs w:val="20"/>
        </w:rPr>
        <w:t>Knezović</w:t>
      </w:r>
      <w:r w:rsidRPr="00D46669">
        <w:rPr>
          <w:rFonts w:ascii="Arial" w:hAnsi="Arial" w:cs="Arial"/>
          <w:noProof/>
          <w:sz w:val="20"/>
          <w:szCs w:val="20"/>
        </w:rPr>
        <w:t xml:space="preserve"> </w:t>
      </w:r>
      <w:r w:rsidR="00B20184" w:rsidRPr="00D46669">
        <w:rPr>
          <w:rFonts w:ascii="Arial" w:hAnsi="Arial" w:cs="Arial"/>
          <w:noProof/>
          <w:sz w:val="20"/>
          <w:szCs w:val="20"/>
        </w:rPr>
        <w:t>i sur</w:t>
      </w:r>
      <w:r w:rsidRPr="00D46669">
        <w:rPr>
          <w:rFonts w:ascii="Arial" w:hAnsi="Arial" w:cs="Arial"/>
          <w:noProof/>
          <w:sz w:val="20"/>
          <w:szCs w:val="20"/>
        </w:rPr>
        <w:t>., 2015)</w:t>
      </w:r>
      <w:r w:rsidRPr="00D46669">
        <w:rPr>
          <w:rFonts w:ascii="Arial" w:hAnsi="Arial" w:cs="Arial"/>
          <w:sz w:val="20"/>
          <w:szCs w:val="20"/>
        </w:rPr>
        <w:fldChar w:fldCharType="end"/>
      </w:r>
      <w:r w:rsidRPr="00D46669">
        <w:rPr>
          <w:rFonts w:ascii="Arial" w:hAnsi="Arial" w:cs="Arial"/>
          <w:sz w:val="20"/>
          <w:szCs w:val="20"/>
        </w:rPr>
        <w:t xml:space="preserve">. Zbog navedenih promjena STZ-icv model smatra se prikladnim za istraživanje promjena povezanih sa sAD </w:t>
      </w:r>
      <w:r w:rsidRPr="00D46669">
        <w:rPr>
          <w:rFonts w:ascii="Arial" w:hAnsi="Arial" w:cs="Arial"/>
          <w:sz w:val="20"/>
          <w:szCs w:val="20"/>
        </w:rPr>
        <w:fldChar w:fldCharType="begin" w:fldLock="1"/>
      </w:r>
      <w:r w:rsidR="00171F8E" w:rsidRPr="00D46669">
        <w:rPr>
          <w:rFonts w:ascii="Arial" w:hAnsi="Arial" w:cs="Arial"/>
          <w:sz w:val="20"/>
          <w:szCs w:val="20"/>
        </w:rPr>
        <w:instrText>ADDIN CSL_CITATION { "citationItems" : [ { "id" : "ITEM-1", "itemData" : { "DOI" : "10.1016/j.arr.2011.01.001", "ISSN" : "15681637", "PMID" : "21262392", "abstract" : "Severe abnormalities in brain glucose/energy metabolism and insulin signaling have been documented to take a pivotal role in early sporadic Alzheimer's disease (sAD) pathology. Indeed, the \"insulin-resistant brain state\" has been hypothesized to form the core of the neurodegenerative events that occur in sAD. In this vein, intracerebroventricular administration of subdiabetogenic doses of streptozotocin (STZ) in rats can induce an insulin-resistant brain state, which is proposed as a suitable experimental model of sAD. This review highlights the involvement of disturbed brain insulin metabolism in sAD etiopathogenesis. Furthermore, current knowledge demonstrates that central STZ administration produces brain pathology and behavioral changes that resemble changes found in sAD patients. The STZ-intracerebroventricularly treated rat represents a promising experimental tool in this field by providing new insights concerning early brain alterations in sAD, which can be translated in novel etiopathogenic and therapeutic approaches in this disease.", "author" : [ { "dropping-particle" : "", "family" : "Correia", "given" : "S\u00f3nia C.", "non-dropping-particle" : "", "parse-names" : false, "suffix" : "" }, { "dropping-particle" : "", "family" : "Santos", "given" : "Renato X.", "non-dropping-particle" : "", "parse-names" : false, "suffix" : "" }, { "dropping-particle" : "", "family" : "Perry", "given" : "George", "non-dropping-particle" : "", "parse-names" : false, "suffix" : "" }, { "dropping-particle" : "", "family" : "Zhu", "given" : "Xiongwei", "non-dropping-particle" : "", "parse-names" : false, "suffix" : "" }, { "dropping-particle" : "", "family" : "Moreira", "given" : "Paula I.", "non-dropping-particle" : "", "parse-names" : false, "suffix" : "" }, { "dropping-particle" : "", "family" : "Smith", "given" : "Mark A.", "non-dropping-particle" : "", "parse-names" : false, "suffix" : "" } ], "container-title" : "Ageing Research Reviews", "id" : "ITEM-1", "issue" : "2", "issued" : { "date-parts" : [ [ "2011", "4" ] ] }, "page" : "264-273", "title" : "Insulin-resistant brain state: The culprit in sporadic Alzheimer's disease?", "type" : "article-journal", "volume" : "10" }, "uris" : [ "http://www.mendeley.com/documents/?uuid=8f3548cd-cc34-339e-8cde-728c410326b1" ] }, { "id" : "ITEM-2", "itemData" : { "DOI" : "10.1007/s00702-012-0877-9", "ISSN" : "1435-1463", "PMID" : "22886150", "abstract" : "Experimental models that faithfully mimic the developmental pathology of sporadic Alzheimer's disease (sAD) in humans are important for testing the novel therapeutic approaches in sAD treatment. Widely used transgenic mice AD models have provided valuable insights into the molecular mechanisms underlying the memory decline but, due to the particular \u03b2-amyloid-related gene manipulation, they resemble the familial but not the sporadic AD form, and are, therefore, inappropriate for this purpose. In line with the recent findings of sAD being recognised as an insulin resistant brains state (IRBS), a new, non-transgenic, animal model has been proposed as a representative model of sAD, developed by intracerebroventricular application of the betacytotoxic drug streptozotocin (STZ-icv). The STZ-icv-treated animals (mostly rats and mice) develop IRBS associated with memory impairment and progressive cholinergic deficits, glucose hypometabolism, oxidative stress and neurodegeneration that share many features in common with sAD in humans. The therapeutic strategies (acetylcholinesterase inhibitors, antioxidants and many other drugs) that have been tested until now on the STZ-icv animal model have been reviewed and the comparability of the drugs' efficacy in this non-transgenic sAD model and the results from clinical trials on sAD patients, evaluated.", "author" : [ { "dropping-particle" : "", "family" : "Salkovic-Petrisic", "given" : "Melita", "non-dropping-particle" : "", "parse-names" : false, "suffix" : "" }, { "dropping-particle" : "", "family" : "Knezovic", "given" : "Ana", "non-dropping-particle" : "", "parse-names" : false, "suffix" : "" }, { "dropping-particle" : "", "family" : "Hoyer", "given" : "Siegfried", "non-dropping-particle" : "", "parse-names" : false, "suffix" : "" }, { "dropping-particle" : "", "family" : "Riederer", "given" : "Peter", "non-dropping-particle" : "", "parse-names" : false, "suffix" : "" } ], "container-title" : "Journal of neural transmission (Vienna, Austria : 1996)", "id" : "ITEM-2", "issue" : "1", "issued" : { "date-parts" : [ [ "2013", "1" ] ] }, "page" : "233-52", "title" : "What have we learned from the streptozotocin-induced animal model of sporadic Alzheimer's disease, about the therapeutic strategies in Alzheimer's research.", "type" : "article-journal", "volume" : "120" }, "uris" : [ "http://www.mendeley.com/documents/?uuid=22b7da7e-be04-3ff6-a379-d39256c3d302" ] } ], "mendeley" : { "formattedCitation" : "(Correia et al., 2011; Salkovic-Petrisic et al., 2013)", "plainTextFormattedCitation" : "(Correia et al., 2011; Salkovic-Petrisic et al., 2013)", "previouslyFormattedCitation" : "(Correia et al., 2011; Salkovic-Petrisic et al., 2013)" }, "properties" : {  }, "schema" : "https://github.com/citation-style-language/schema/raw/master/csl-citation.json" }</w:instrText>
      </w:r>
      <w:r w:rsidRPr="00D46669">
        <w:rPr>
          <w:rFonts w:ascii="Arial" w:hAnsi="Arial" w:cs="Arial"/>
          <w:sz w:val="20"/>
          <w:szCs w:val="20"/>
        </w:rPr>
        <w:fldChar w:fldCharType="separate"/>
      </w:r>
      <w:r w:rsidR="00171F8E" w:rsidRPr="00D46669">
        <w:rPr>
          <w:rFonts w:ascii="Arial" w:hAnsi="Arial" w:cs="Arial"/>
          <w:noProof/>
          <w:sz w:val="20"/>
          <w:szCs w:val="20"/>
        </w:rPr>
        <w:t xml:space="preserve">(Correia </w:t>
      </w:r>
      <w:r w:rsidR="00B20184" w:rsidRPr="00D46669">
        <w:rPr>
          <w:rFonts w:ascii="Arial" w:hAnsi="Arial" w:cs="Arial"/>
          <w:noProof/>
          <w:sz w:val="20"/>
          <w:szCs w:val="20"/>
        </w:rPr>
        <w:t>i sur</w:t>
      </w:r>
      <w:r w:rsidR="00FF38A9">
        <w:rPr>
          <w:rFonts w:ascii="Arial" w:hAnsi="Arial" w:cs="Arial"/>
          <w:noProof/>
          <w:sz w:val="20"/>
          <w:szCs w:val="20"/>
        </w:rPr>
        <w:t>., 2011; Šalković-Petrišić</w:t>
      </w:r>
      <w:r w:rsidR="00171F8E" w:rsidRPr="00D46669">
        <w:rPr>
          <w:rFonts w:ascii="Arial" w:hAnsi="Arial" w:cs="Arial"/>
          <w:noProof/>
          <w:sz w:val="20"/>
          <w:szCs w:val="20"/>
        </w:rPr>
        <w:t xml:space="preserve"> </w:t>
      </w:r>
      <w:r w:rsidR="00B20184" w:rsidRPr="00D46669">
        <w:rPr>
          <w:rFonts w:ascii="Arial" w:hAnsi="Arial" w:cs="Arial"/>
          <w:noProof/>
          <w:sz w:val="20"/>
          <w:szCs w:val="20"/>
        </w:rPr>
        <w:t>i sur</w:t>
      </w:r>
      <w:r w:rsidR="00171F8E" w:rsidRPr="00D46669">
        <w:rPr>
          <w:rFonts w:ascii="Arial" w:hAnsi="Arial" w:cs="Arial"/>
          <w:noProof/>
          <w:sz w:val="20"/>
          <w:szCs w:val="20"/>
        </w:rPr>
        <w:t>., 2013)</w:t>
      </w:r>
      <w:r w:rsidRPr="00D46669">
        <w:rPr>
          <w:rFonts w:ascii="Arial" w:hAnsi="Arial" w:cs="Arial"/>
          <w:sz w:val="20"/>
          <w:szCs w:val="20"/>
        </w:rPr>
        <w:fldChar w:fldCharType="end"/>
      </w:r>
      <w:r w:rsidRPr="00D46669">
        <w:rPr>
          <w:rFonts w:ascii="Arial" w:hAnsi="Arial" w:cs="Arial"/>
          <w:sz w:val="20"/>
          <w:szCs w:val="20"/>
        </w:rPr>
        <w:t>.</w:t>
      </w:r>
      <w:bookmarkEnd w:id="4"/>
      <w:r w:rsidRPr="00D46669">
        <w:rPr>
          <w:rFonts w:ascii="Arial" w:hAnsi="Arial" w:cs="Arial"/>
          <w:sz w:val="20"/>
          <w:szCs w:val="20"/>
        </w:rPr>
        <w:t xml:space="preserve">  </w:t>
      </w:r>
    </w:p>
    <w:p w14:paraId="06B7FD09" w14:textId="49A9C49E" w:rsidR="00B20184" w:rsidRDefault="008E12F1" w:rsidP="008E12F1">
      <w:pPr>
        <w:pStyle w:val="ListParagraph"/>
        <w:numPr>
          <w:ilvl w:val="1"/>
          <w:numId w:val="8"/>
        </w:numPr>
        <w:spacing w:line="360" w:lineRule="auto"/>
        <w:outlineLvl w:val="1"/>
        <w:rPr>
          <w:rFonts w:ascii="Arial" w:hAnsi="Arial" w:cs="Arial"/>
          <w:b/>
        </w:rPr>
      </w:pPr>
      <w:r>
        <w:rPr>
          <w:rFonts w:ascii="Arial" w:hAnsi="Arial" w:cs="Arial"/>
          <w:b/>
        </w:rPr>
        <w:t xml:space="preserve"> </w:t>
      </w:r>
      <w:r w:rsidR="00B20184" w:rsidRPr="00D46669">
        <w:rPr>
          <w:rFonts w:ascii="Arial" w:hAnsi="Arial" w:cs="Arial"/>
          <w:b/>
        </w:rPr>
        <w:t>Moždano deblo u AD i važnost dorzalne motorne jezgre</w:t>
      </w:r>
      <w:r w:rsidR="00EB716B" w:rsidRPr="00D46669">
        <w:rPr>
          <w:rFonts w:ascii="Arial" w:hAnsi="Arial" w:cs="Arial"/>
          <w:b/>
        </w:rPr>
        <w:t xml:space="preserve"> vagusa</w:t>
      </w:r>
    </w:p>
    <w:p w14:paraId="27EE3717" w14:textId="237AA80D" w:rsidR="0035288F" w:rsidRPr="00D46669" w:rsidRDefault="0035288F" w:rsidP="00B20184">
      <w:pPr>
        <w:spacing w:line="360" w:lineRule="auto"/>
        <w:jc w:val="both"/>
        <w:rPr>
          <w:rFonts w:ascii="Arial" w:hAnsi="Arial" w:cs="Arial"/>
          <w:color w:val="000000"/>
          <w:sz w:val="20"/>
          <w:szCs w:val="20"/>
          <w:shd w:val="clear" w:color="auto" w:fill="FFFFFF"/>
        </w:rPr>
      </w:pPr>
    </w:p>
    <w:p w14:paraId="6ED93BBB" w14:textId="39A09F72" w:rsidR="0035288F" w:rsidRDefault="00C931C3" w:rsidP="00B20184">
      <w:pPr>
        <w:spacing w:line="360" w:lineRule="auto"/>
        <w:jc w:val="both"/>
        <w:rPr>
          <w:rFonts w:ascii="Arial" w:hAnsi="Arial" w:cs="Arial"/>
          <w:color w:val="000000"/>
          <w:sz w:val="20"/>
          <w:szCs w:val="20"/>
          <w:shd w:val="clear" w:color="auto" w:fill="FFFFFF"/>
        </w:rPr>
      </w:pPr>
      <w:r w:rsidRPr="00D46669">
        <w:rPr>
          <w:rFonts w:ascii="Arial" w:hAnsi="Arial" w:cs="Arial"/>
          <w:color w:val="000000"/>
          <w:sz w:val="20"/>
          <w:szCs w:val="20"/>
          <w:shd w:val="clear" w:color="auto" w:fill="FFFFFF"/>
        </w:rPr>
        <w:t xml:space="preserve">Istraživanje struktura </w:t>
      </w:r>
      <w:bookmarkStart w:id="5" w:name="_Hlk513104037"/>
      <w:r w:rsidRPr="00D46669">
        <w:rPr>
          <w:rFonts w:ascii="Arial" w:hAnsi="Arial" w:cs="Arial"/>
          <w:color w:val="000000"/>
          <w:sz w:val="20"/>
          <w:szCs w:val="20"/>
          <w:shd w:val="clear" w:color="auto" w:fill="FFFFFF"/>
        </w:rPr>
        <w:t>moždanog debla (eng. brain stem; BS)</w:t>
      </w:r>
      <w:bookmarkEnd w:id="5"/>
      <w:r w:rsidRPr="00D46669">
        <w:rPr>
          <w:rFonts w:ascii="Arial" w:hAnsi="Arial" w:cs="Arial"/>
          <w:color w:val="000000"/>
          <w:sz w:val="20"/>
          <w:szCs w:val="20"/>
          <w:shd w:val="clear" w:color="auto" w:fill="FFFFFF"/>
        </w:rPr>
        <w:t xml:space="preserve"> u AD sugerira da bi neuropatološke promjene u ovom </w:t>
      </w:r>
      <w:r w:rsidR="008E12F1">
        <w:rPr>
          <w:rFonts w:ascii="Arial" w:hAnsi="Arial" w:cs="Arial"/>
          <w:color w:val="000000"/>
          <w:sz w:val="20"/>
          <w:szCs w:val="20"/>
          <w:shd w:val="clear" w:color="auto" w:fill="FFFFFF"/>
        </w:rPr>
        <w:t>području mogle biti uključene u</w:t>
      </w:r>
      <w:r w:rsidRPr="00D46669">
        <w:rPr>
          <w:rFonts w:ascii="Arial" w:hAnsi="Arial" w:cs="Arial"/>
          <w:color w:val="000000"/>
          <w:sz w:val="20"/>
          <w:szCs w:val="20"/>
          <w:shd w:val="clear" w:color="auto" w:fill="FFFFFF"/>
        </w:rPr>
        <w:t xml:space="preserve"> rani razvoj bolesti. Postmortalnim analizama utvrđeno je da se neuropatološke promjene u strukturama BS razvijaju prije nego u supratentorijalnim regijama mozga. Neurofibrilarni snopići pojavljuju se u dorzalnim raphe jezgrama prije razvoja patoloških promjena u transentorinalnoj regiji </w:t>
      </w:r>
      <w:r w:rsidRPr="00D46669">
        <w:rPr>
          <w:rFonts w:ascii="Arial" w:hAnsi="Arial" w:cs="Arial"/>
          <w:color w:val="000000"/>
          <w:sz w:val="20"/>
          <w:szCs w:val="20"/>
          <w:shd w:val="clear" w:color="auto" w:fill="FFFFFF"/>
        </w:rPr>
        <w:fldChar w:fldCharType="begin" w:fldLock="1"/>
      </w:r>
      <w:r w:rsidRPr="00D46669">
        <w:rPr>
          <w:rFonts w:ascii="Arial" w:hAnsi="Arial" w:cs="Arial"/>
          <w:color w:val="000000"/>
          <w:sz w:val="20"/>
          <w:szCs w:val="20"/>
          <w:shd w:val="clear" w:color="auto" w:fill="FFFFFF"/>
        </w:rPr>
        <w:instrText>ADDIN CSL_CITATION { "citationItems" : [ { "id" : "ITEM-1", "itemData" : { "DOI" : "10.1111/j.1365-2990.2009.00997.x", "ISSN" : "1365-2990", "PMID" : "19508444", "abstract" : "AIMS Alzheimer's disease (AD) is a progressive and irreversible disease. There is strong evidence that the progression of the phospho-tau neurofibrillary cytoskeletal changes, rather than the beta-amyloid burden, is crucial in determining the severity of the dementia in AD. The Braak and Braak staging system (BB) focuses mainly on the cortical cytoskeletal pathology and classifies this progressive pathology into six stages, spreading from the transentorhinal region to primary cortices. Although it is reported elsewhere that the midbrain's dorsal raphe nucleus (DR), which is connected with those areas of the cerebral cortex undergoing early changes during BB I and II, exhibits AD-related cytoskeletal pathology, this nucleus has not been considered by the BB. METHODS To determine during which BB stage and how frequently the DR is affected by AD-related neurofibrillary changes, we studied the DR of 118 well-characterized individuals of the Brain Bank of the Brazilian Aging Brain Study Group categorized according to the BB. Thirty-eight of these individuals were staged as BB = 0, and 80 as BB &gt;or= 1. RESULTS In all of the BB &gt;or= 1 individuals (cortical neurofibrillary changes were present at least in the transentorhinal region) and in more than 1/5 of the BB = 0 individuals neurofibrillary changes were detected in the supratrochlear subnucleus of the DR. CONCLUSIONS These observations: (i) support the hypothesis of transneuronal spread of neurofibrillary changes from the DR to its interconnected cortical brain areas; and (ii) indicate that the supratrochlear subnucleus of the DR is affected by neurofibrillary changes before the transentorhinal cortex during the disease process underlying AD.", "author" : [ { "dropping-particle" : "", "family" : "Grinberg", "given" : "L T", "non-dropping-particle" : "", "parse-names" : false, "suffix" : "" }, { "dropping-particle" : "", "family" : "R\u00fcb", "given" : "U", "non-dropping-particle" : "", "parse-names" : false, "suffix" : "" }, { "dropping-particle" : "", "family" : "Ferretti", "given" : "R E L", "non-dropping-particle" : "", "parse-names" : false, "suffix" : "" }, { "dropping-particle" : "", "family" : "Nitrini", "given" : "R", "non-dropping-particle" : "", "parse-names" : false, "suffix" : "" }, { "dropping-particle" : "", "family" : "Farfel", "given" : "J M", "non-dropping-particle" : "", "parse-names" : false, "suffix" : "" }, { "dropping-particle" : "", "family" : "Polichiso", "given" : "L", "non-dropping-particle" : "", "parse-names" : false, "suffix" : "" }, { "dropping-particle" : "", "family" : "Gierga", "given" : "K", "non-dropping-particle" : "", "parse-names" : false, "suffix" : "" }, { "dropping-particle" : "", "family" : "Jacob-Filho", "given" : "W", "non-dropping-particle" : "", "parse-names" : false, "suffix" : "" }, { "dropping-particle" : "", "family" : "Heinsen", "given" : "H", "non-dropping-particle" : "", "parse-names" : false, "suffix" : "" }, { "dropping-particle" : "", "family" : "Brazilian Brain Bank Study Group", "given" : "", "non-dropping-particle" : "", "parse-names" : false, "suffix" : "" } ], "container-title" : "Neuropathology and applied neurobiology", "id" : "ITEM-1", "issue" : "4", "issued" : { "date-parts" : [ [ "2009", "8" ] ] }, "page" : "406-16", "title" : "The dorsal raphe nucleus shows phospho-tau neurofibrillary changes before the transentorhinal region in Alzheimer's disease. A precocious onset?", "type" : "article-journal", "volume" : "35" }, "uris" : [ "http://www.mendeley.com/documents/?uuid=0928d9df-0efa-3388-b42f-06139f502139" ] } ], "mendeley" : { "formattedCitation" : "(Grinberg et al., 2009)", "plainTextFormattedCitation" : "(Grinberg et al., 2009)", "previouslyFormattedCitation" : "(Grinberg et al., 2009)" }, "properties" : {  }, "schema" : "https://github.com/citation-style-language/schema/raw/master/csl-citation.json" }</w:instrText>
      </w:r>
      <w:r w:rsidRPr="00D46669">
        <w:rPr>
          <w:rFonts w:ascii="Arial" w:hAnsi="Arial" w:cs="Arial"/>
          <w:color w:val="000000"/>
          <w:sz w:val="20"/>
          <w:szCs w:val="20"/>
          <w:shd w:val="clear" w:color="auto" w:fill="FFFFFF"/>
        </w:rPr>
        <w:fldChar w:fldCharType="separate"/>
      </w:r>
      <w:r w:rsidRPr="00D46669">
        <w:rPr>
          <w:rFonts w:ascii="Arial" w:hAnsi="Arial" w:cs="Arial"/>
          <w:noProof/>
          <w:color w:val="000000"/>
          <w:sz w:val="20"/>
          <w:szCs w:val="20"/>
          <w:shd w:val="clear" w:color="auto" w:fill="FFFFFF"/>
        </w:rPr>
        <w:t xml:space="preserve">(Grinberg </w:t>
      </w:r>
      <w:r w:rsidR="00B20184" w:rsidRPr="00D46669">
        <w:rPr>
          <w:rFonts w:ascii="Arial" w:hAnsi="Arial" w:cs="Arial"/>
          <w:noProof/>
          <w:color w:val="000000"/>
          <w:sz w:val="20"/>
          <w:szCs w:val="20"/>
          <w:shd w:val="clear" w:color="auto" w:fill="FFFFFF"/>
        </w:rPr>
        <w:t>i sur</w:t>
      </w:r>
      <w:r w:rsidRPr="00D46669">
        <w:rPr>
          <w:rFonts w:ascii="Arial" w:hAnsi="Arial" w:cs="Arial"/>
          <w:noProof/>
          <w:color w:val="000000"/>
          <w:sz w:val="20"/>
          <w:szCs w:val="20"/>
          <w:shd w:val="clear" w:color="auto" w:fill="FFFFFF"/>
        </w:rPr>
        <w:t>., 2009)</w:t>
      </w:r>
      <w:r w:rsidRPr="00D46669">
        <w:rPr>
          <w:rFonts w:ascii="Arial" w:hAnsi="Arial" w:cs="Arial"/>
          <w:color w:val="000000"/>
          <w:sz w:val="20"/>
          <w:szCs w:val="20"/>
          <w:shd w:val="clear" w:color="auto" w:fill="FFFFFF"/>
        </w:rPr>
        <w:fldChar w:fldCharType="end"/>
      </w:r>
      <w:r w:rsidRPr="00D46669">
        <w:rPr>
          <w:rFonts w:ascii="Arial" w:hAnsi="Arial" w:cs="Arial"/>
          <w:color w:val="000000"/>
          <w:sz w:val="20"/>
          <w:szCs w:val="20"/>
          <w:shd w:val="clear" w:color="auto" w:fill="FFFFFF"/>
        </w:rPr>
        <w:t xml:space="preserve">, a patološke promjene u raphe jezgrama proporcionalne su neuropatološkim promjenama stupnjevanim po Braak klasifikaciji </w:t>
      </w:r>
      <w:r w:rsidRPr="00D46669">
        <w:rPr>
          <w:rFonts w:ascii="Arial" w:hAnsi="Arial" w:cs="Arial"/>
          <w:color w:val="000000"/>
          <w:sz w:val="20"/>
          <w:szCs w:val="20"/>
          <w:shd w:val="clear" w:color="auto" w:fill="FFFFFF"/>
        </w:rPr>
        <w:fldChar w:fldCharType="begin" w:fldLock="1"/>
      </w:r>
      <w:r w:rsidRPr="00D46669">
        <w:rPr>
          <w:rFonts w:ascii="Arial" w:hAnsi="Arial" w:cs="Arial"/>
          <w:color w:val="000000"/>
          <w:sz w:val="20"/>
          <w:szCs w:val="20"/>
          <w:shd w:val="clear" w:color="auto" w:fill="FFFFFF"/>
        </w:rPr>
        <w:instrText>ADDIN CSL_CITATION { "citationItems" : [ { "id" : "ITEM-1", "itemData" : { "ISSN" : "0305-1846", "PMID" : "11123722", "abstract" : "The cross-sectional analyses currently available show that the Alzheimer's disease (AD)-related cytoskeletal alterations within the human brain affect variously susceptible areas of the cerebral cortex in a uniform sequence with very little interpatient variability. This sequence has been divided for research and comparative purposes into six stages (cortical NFT/NT-stages I-VI). Among the subcortical nuclei affected in AD are those belonging to the raphe system. Efforts were focused on the lesions present in these nuclei to see in which of the six stages the AD-related cytoskeletal anomalies begin and whether a correlation exists between the AD-related pathology developing within the cerebral cortex and the cytoskeletal damage that occurs in the nuclei of the raphe system. To this end, serial sections from the brainstems of 27 post-mortem cases with stages I-VI of cortical cytoskeletal lesions were examined. The cytoskeletal pathology was visualized using the modified silver iodide-Gallyas staining technique and the antibody AT8. The latter is directed specifically against the abnormally phosphorylated cytoskeletal protein tau. The dorsal raphe nucleus manifests the cytoskeletal lesions early on (stages I-II). The central and linear raphe nuclei, by contrast, do so initially in stages III-IV, and the caudal raphe nuclei register the first changes in stages V-VI. In stages V and VI, the dorsal raphe nucleus displays the most severe cytoskeletal pathology within the raphe system, followed by the central and linear raphe nuclei, whereas the cytoskeletal anomalies in the caudal raphe nuclei are slight. The developing damage within the nuclei of the raphe system correlates with the stages I-VI and, furthermore, progresses in the oral raphe nuclei in close connection with the evolution of the pathological process in cortical projection destinations of these nuclei. As the source of the ascending serotonergic system, the involvement of the oral raphe nuclei may be partially responsible for the early manifestation of the non-cognitive and emotional deficiencies possibly traceable to dysfunctions within the ascending serotonergic system.", "author" : [ { "dropping-particle" : "", "family" : "R\u00fcb", "given" : "U", "non-dropping-particle" : "", "parse-names" : false, "suffix" : "" }, { "dropping-particle" : "", "family" : "Tredici", "given" : "K", "non-dropping-particle" : "Del", "parse-names" : false, "suffix" : "" }, { "dropping-particle" : "", "family" : "Schultz", "given" : "C", "non-dropping-particle" : "", "parse-names" : false, "suffix" : "" }, { "dropping-particle" : "", "family" : "Thal", "given" : "D R", "non-dropping-particle" : "", "parse-names" : false, "suffix" : "" }, { "dropping-particle" : "", "family" : "Braak", "given" : "E", "non-dropping-particle" : "", "parse-names" : false, "suffix" : "" }, { "dropping-particle" : "", "family" : "Braak", "given" : "H", "non-dropping-particle" : "", "parse-names" : false, "suffix" : "" } ], "container-title" : "Neuropathology and applied neurobiology", "id" : "ITEM-1", "issue" : "6", "issued" : { "date-parts" : [ [ "2000", "12" ] ] }, "page" : "553-67", "title" : "The evolution of Alzheimer's disease-related cytoskeletal pathology in the human raphe nuclei.", "type" : "article-journal", "volume" : "26" }, "uris" : [ "http://www.mendeley.com/documents/?uuid=1f3df9b9-ef5a-350f-8d7b-caff2f46d193" ] } ], "mendeley" : { "formattedCitation" : "(R\u00fcb et al., 2000)", "plainTextFormattedCitation" : "(R\u00fcb et al., 2000)", "previouslyFormattedCitation" : "(R\u00fcb et al., 2000)" }, "properties" : {  }, "schema" : "https://github.com/citation-style-language/schema/raw/master/csl-citation.json" }</w:instrText>
      </w:r>
      <w:r w:rsidRPr="00D46669">
        <w:rPr>
          <w:rFonts w:ascii="Arial" w:hAnsi="Arial" w:cs="Arial"/>
          <w:color w:val="000000"/>
          <w:sz w:val="20"/>
          <w:szCs w:val="20"/>
          <w:shd w:val="clear" w:color="auto" w:fill="FFFFFF"/>
        </w:rPr>
        <w:fldChar w:fldCharType="separate"/>
      </w:r>
      <w:r w:rsidRPr="00D46669">
        <w:rPr>
          <w:rFonts w:ascii="Arial" w:hAnsi="Arial" w:cs="Arial"/>
          <w:noProof/>
          <w:color w:val="000000"/>
          <w:sz w:val="20"/>
          <w:szCs w:val="20"/>
          <w:shd w:val="clear" w:color="auto" w:fill="FFFFFF"/>
        </w:rPr>
        <w:t xml:space="preserve">(Rüb </w:t>
      </w:r>
      <w:r w:rsidR="00B20184" w:rsidRPr="00D46669">
        <w:rPr>
          <w:rFonts w:ascii="Arial" w:hAnsi="Arial" w:cs="Arial"/>
          <w:noProof/>
          <w:color w:val="000000"/>
          <w:sz w:val="20"/>
          <w:szCs w:val="20"/>
          <w:shd w:val="clear" w:color="auto" w:fill="FFFFFF"/>
        </w:rPr>
        <w:t>i sur</w:t>
      </w:r>
      <w:r w:rsidRPr="00D46669">
        <w:rPr>
          <w:rFonts w:ascii="Arial" w:hAnsi="Arial" w:cs="Arial"/>
          <w:noProof/>
          <w:color w:val="000000"/>
          <w:sz w:val="20"/>
          <w:szCs w:val="20"/>
          <w:shd w:val="clear" w:color="auto" w:fill="FFFFFF"/>
        </w:rPr>
        <w:t>., 2000)</w:t>
      </w:r>
      <w:r w:rsidRPr="00D46669">
        <w:rPr>
          <w:rFonts w:ascii="Arial" w:hAnsi="Arial" w:cs="Arial"/>
          <w:color w:val="000000"/>
          <w:sz w:val="20"/>
          <w:szCs w:val="20"/>
          <w:shd w:val="clear" w:color="auto" w:fill="FFFFFF"/>
        </w:rPr>
        <w:fldChar w:fldCharType="end"/>
      </w:r>
      <w:r w:rsidRPr="00D46669">
        <w:rPr>
          <w:rFonts w:ascii="Arial" w:hAnsi="Arial" w:cs="Arial"/>
          <w:color w:val="000000"/>
          <w:sz w:val="20"/>
          <w:szCs w:val="20"/>
          <w:shd w:val="clear" w:color="auto" w:fill="FFFFFF"/>
        </w:rPr>
        <w:t xml:space="preserve">. Neuropatološke promjene u subkortikalnih struktura u AD, </w:t>
      </w:r>
      <w:r w:rsidRPr="00D46669">
        <w:rPr>
          <w:rFonts w:ascii="Arial" w:hAnsi="Arial" w:cs="Arial"/>
          <w:sz w:val="20"/>
          <w:szCs w:val="20"/>
          <w:shd w:val="clear" w:color="auto" w:fill="FFFFFF"/>
        </w:rPr>
        <w:t>osim dorzalnih raphe jezgara, zahvaćaju i druge jezgre BS i to primarno</w:t>
      </w:r>
      <w:bookmarkStart w:id="6" w:name="_Hlk513104068"/>
      <w:r w:rsidRPr="00D46669">
        <w:rPr>
          <w:rFonts w:ascii="Arial" w:hAnsi="Arial" w:cs="Arial"/>
          <w:sz w:val="20"/>
          <w:szCs w:val="20"/>
          <w:shd w:val="clear" w:color="auto" w:fill="FFFFFF"/>
        </w:rPr>
        <w:t xml:space="preserve"> </w:t>
      </w:r>
      <w:r w:rsidRPr="00D46669">
        <w:rPr>
          <w:rFonts w:ascii="Arial" w:hAnsi="Arial" w:cs="Arial"/>
          <w:i/>
          <w:sz w:val="20"/>
          <w:szCs w:val="20"/>
          <w:shd w:val="clear" w:color="auto" w:fill="FFFFFF"/>
        </w:rPr>
        <w:t>nucleus basalis Meynert</w:t>
      </w:r>
      <w:r w:rsidRPr="00D46669">
        <w:rPr>
          <w:rFonts w:ascii="Arial" w:hAnsi="Arial" w:cs="Arial"/>
          <w:sz w:val="20"/>
          <w:szCs w:val="20"/>
          <w:shd w:val="clear" w:color="auto" w:fill="FFFFFF"/>
        </w:rPr>
        <w:t xml:space="preserve"> (NBM), </w:t>
      </w:r>
      <w:r w:rsidRPr="00D46669">
        <w:rPr>
          <w:rFonts w:ascii="Arial" w:hAnsi="Arial" w:cs="Arial"/>
          <w:i/>
          <w:sz w:val="20"/>
          <w:szCs w:val="20"/>
          <w:shd w:val="clear" w:color="auto" w:fill="FFFFFF"/>
        </w:rPr>
        <w:t>locus coeruleus</w:t>
      </w:r>
      <w:r w:rsidRPr="00D46669">
        <w:rPr>
          <w:rFonts w:ascii="Arial" w:hAnsi="Arial" w:cs="Arial"/>
          <w:sz w:val="20"/>
          <w:szCs w:val="20"/>
          <w:shd w:val="clear" w:color="auto" w:fill="FFFFFF"/>
        </w:rPr>
        <w:t xml:space="preserve"> (LC) i </w:t>
      </w:r>
      <w:r w:rsidRPr="00D46669">
        <w:rPr>
          <w:rFonts w:ascii="Arial" w:hAnsi="Arial" w:cs="Arial"/>
          <w:i/>
          <w:sz w:val="20"/>
          <w:szCs w:val="20"/>
          <w:shd w:val="clear" w:color="auto" w:fill="FFFFFF"/>
        </w:rPr>
        <w:t>substantiu nigru</w:t>
      </w:r>
      <w:r w:rsidRPr="00D46669">
        <w:rPr>
          <w:rFonts w:ascii="Arial" w:hAnsi="Arial" w:cs="Arial"/>
          <w:sz w:val="20"/>
          <w:szCs w:val="20"/>
          <w:shd w:val="clear" w:color="auto" w:fill="FFFFFF"/>
        </w:rPr>
        <w:t xml:space="preserve"> (SN) </w:t>
      </w:r>
      <w:bookmarkEnd w:id="6"/>
      <w:r w:rsidRPr="00D46669">
        <w:rPr>
          <w:rFonts w:ascii="Arial" w:hAnsi="Arial" w:cs="Arial"/>
          <w:color w:val="000000"/>
          <w:sz w:val="20"/>
          <w:szCs w:val="20"/>
          <w:shd w:val="clear" w:color="auto" w:fill="FFFFFF"/>
        </w:rPr>
        <w:fldChar w:fldCharType="begin" w:fldLock="1"/>
      </w:r>
      <w:r w:rsidRPr="00D46669">
        <w:rPr>
          <w:rFonts w:ascii="Arial" w:hAnsi="Arial" w:cs="Arial"/>
          <w:color w:val="000000"/>
          <w:sz w:val="20"/>
          <w:szCs w:val="20"/>
          <w:shd w:val="clear" w:color="auto" w:fill="FFFFFF"/>
        </w:rPr>
        <w:instrText>ADDIN CSL_CITATION { "citationItems" : [ { "id" : "ITEM-1", "itemData" : { "ISSN" : "0197-4580", "PMID" : "12493547", "abstract" : "Cell counts in the cholinergic nucleus basalis (NB), noradrenergic locus coeruleus (LC), dopaminergic substantia nigra (SN), and the serotonergic dorsal raphe nucleus (DRN) were assessed from primary-level reports in patients with Alzheimer disease (AD) and in controls. Sixty-seven studies that covered about 20 years were included in the meta-analysis. Effect sizes were computed as a standardized mean difference (d) in cell counts between AD and controls. Effect sizes were largest in magnitude for the NB (mean d=2.48, 33 studies, N=585), and the LC (d=2.28, 24 studies, N=545), then the DRN (d=1.79, 11 studies, N=234), and were smallest for the SN (d=0.61, 14 studies, N=440). In general, the overall effect size estimates for the four cell areas were reliable. Using effect size magnitude in the SN as a referent, cell loss was about three times greater in the DRN and four times greater in the NB and LC. Symptomatic drug treatment for AD might be beneficially directed toward ameliorating multiple neurotransmitter deficiencies, particularly cholinergic and noradrenergic.", "author" : [ { "dropping-particle" : "", "family" : "Lyness", "given" : "Scott A", "non-dropping-particle" : "", "parse-names" : false, "suffix" : "" }, { "dropping-particle" : "", "family" : "Zarow", "given" : "Chris", "non-dropping-particle" : "", "parse-names" : false, "suffix" : "" }, { "dropping-particle" : "", "family" : "Chui", "given" : "Helena C", "non-dropping-particle" : "", "parse-names" : false, "suffix" : "" } ], "container-title" : "Neurobiology of aging", "id" : "ITEM-1", "issue" : "1", "issued" : { "date-parts" : [ [ "2003" ] ] }, "page" : "1-23", "title" : "Neuron loss in key cholinergic and aminergic nuclei in Alzheimer disease: a meta-analysis.", "type" : "article-journal", "volume" : "24" }, "uris" : [ "http://www.mendeley.com/documents/?uuid=28cda1fa-5fbb-3b3f-8d82-41d83f7ca647" ] } ], "mendeley" : { "formattedCitation" : "(Lyness, Zarow, &amp; Chui, 2003)", "plainTextFormattedCitation" : "(Lyness, Zarow, &amp; Chui, 2003)", "previouslyFormattedCitation" : "(Lyness, Zarow, &amp; Chui, 2003)" }, "properties" : {  }, "schema" : "https://github.com/citation-style-language/schema/raw/master/csl-citation.json" }</w:instrText>
      </w:r>
      <w:r w:rsidRPr="00D46669">
        <w:rPr>
          <w:rFonts w:ascii="Arial" w:hAnsi="Arial" w:cs="Arial"/>
          <w:color w:val="000000"/>
          <w:sz w:val="20"/>
          <w:szCs w:val="20"/>
          <w:shd w:val="clear" w:color="auto" w:fill="FFFFFF"/>
        </w:rPr>
        <w:fldChar w:fldCharType="separate"/>
      </w:r>
      <w:r w:rsidRPr="00D46669">
        <w:rPr>
          <w:rFonts w:ascii="Arial" w:hAnsi="Arial" w:cs="Arial"/>
          <w:noProof/>
          <w:color w:val="000000"/>
          <w:sz w:val="20"/>
          <w:szCs w:val="20"/>
          <w:shd w:val="clear" w:color="auto" w:fill="FFFFFF"/>
        </w:rPr>
        <w:t>(Lyness</w:t>
      </w:r>
      <w:r w:rsidR="00B20184" w:rsidRPr="00D46669">
        <w:rPr>
          <w:rFonts w:ascii="Arial" w:hAnsi="Arial" w:cs="Arial"/>
          <w:noProof/>
          <w:color w:val="000000"/>
          <w:sz w:val="20"/>
          <w:szCs w:val="20"/>
          <w:shd w:val="clear" w:color="auto" w:fill="FFFFFF"/>
        </w:rPr>
        <w:t xml:space="preserve"> i sur.</w:t>
      </w:r>
      <w:r w:rsidRPr="00D46669">
        <w:rPr>
          <w:rFonts w:ascii="Arial" w:hAnsi="Arial" w:cs="Arial"/>
          <w:noProof/>
          <w:color w:val="000000"/>
          <w:sz w:val="20"/>
          <w:szCs w:val="20"/>
          <w:shd w:val="clear" w:color="auto" w:fill="FFFFFF"/>
        </w:rPr>
        <w:t>, 2003)</w:t>
      </w:r>
      <w:r w:rsidRPr="00D46669">
        <w:rPr>
          <w:rFonts w:ascii="Arial" w:hAnsi="Arial" w:cs="Arial"/>
          <w:color w:val="000000"/>
          <w:sz w:val="20"/>
          <w:szCs w:val="20"/>
          <w:shd w:val="clear" w:color="auto" w:fill="FFFFFF"/>
        </w:rPr>
        <w:fldChar w:fldCharType="end"/>
      </w:r>
      <w:r w:rsidRPr="00D46669">
        <w:rPr>
          <w:rFonts w:ascii="Arial" w:hAnsi="Arial" w:cs="Arial"/>
          <w:color w:val="000000"/>
          <w:sz w:val="20"/>
          <w:szCs w:val="20"/>
          <w:shd w:val="clear" w:color="auto" w:fill="FFFFFF"/>
        </w:rPr>
        <w:t xml:space="preserve">. Podaci o zahvaćenosti ostalih struktura BS i o značaju tih promjena oskudni su. Dorzalna motorna jezgra vagusa (eng. dorsal motor nucleus of vagus; DMNX) eferentna je jezgra desetog kranijalnog živca koja parasimpatičkim vlaknima inervira visceralne organe, a istraživanja pokazuju da je ključna za regulaciju metaboličke homeostaze te sistemske i središnje upale </w:t>
      </w:r>
      <w:r w:rsidRPr="00D46669">
        <w:rPr>
          <w:rFonts w:ascii="Arial" w:hAnsi="Arial" w:cs="Arial"/>
          <w:color w:val="000000"/>
          <w:sz w:val="20"/>
          <w:szCs w:val="20"/>
          <w:shd w:val="clear" w:color="auto" w:fill="FFFFFF"/>
        </w:rPr>
        <w:fldChar w:fldCharType="begin" w:fldLock="1"/>
      </w:r>
      <w:r w:rsidRPr="00D46669">
        <w:rPr>
          <w:rFonts w:ascii="Arial" w:hAnsi="Arial" w:cs="Arial"/>
          <w:color w:val="000000"/>
          <w:sz w:val="20"/>
          <w:szCs w:val="20"/>
          <w:shd w:val="clear" w:color="auto" w:fill="FFFFFF"/>
        </w:rPr>
        <w:instrText>ADDIN CSL_CITATION { "citationItems" : [ { "id" : "ITEM-1", "itemData" : { "DOI" : "10.1038/nrendo.2012.189", "ISSN" : "1759-5037", "PMID" : "23169440", "abstract" : "The vagus nerve has an important role in regulation of metabolic homeostasis, and efferent vagus nerve-mediated cholinergic signalling controls immune function and proinflammatory responses via the inflammatory reflex. Dysregulation of metabolism and immune function in obesity are associated with chronic inflammation, a critical step in the pathogenesis of insulin resistance and type 2 diabetes mellitus. Cholinergic mechanisms within the inflammatory reflex have, in the past 2 years, been implicated in attenuating obesity-related inflammation and metabolic complications. This knowledge has led to the exploration of novel therapeutic approaches in the treatment of obesity-related disorders.", "author" : [ { "dropping-particle" : "", "family" : "Pavlov", "given" : "Valentin A", "non-dropping-particle" : "", "parse-names" : false, "suffix" : "" }, { "dropping-particle" : "", "family" : "Tracey", "given" : "Kevin J", "non-dropping-particle" : "", "parse-names" : false, "suffix" : "" } ], "container-title" : "Nature reviews. Endocrinology", "id" : "ITEM-1", "issue" : "12", "issued" : { "date-parts" : [ [ "2012", "12" ] ] }, "page" : "743-54", "publisher" : "NIH Public Access", "title" : "The vagus nerve and the inflammatory reflex--linking immunity and metabolism.", "type" : "article-journal", "volume" : "8" }, "uris" : [ "http://www.mendeley.com/documents/?uuid=5fe7b8fc-aef6-3c2d-98a0-2127c9cae701" ] } ], "mendeley" : { "formattedCitation" : "(Pavlov &amp; Tracey, 2012)", "plainTextFormattedCitation" : "(Pavlov &amp; Tracey, 2012)", "previouslyFormattedCitation" : "(Pavlov &amp; Tracey, 2012)" }, "properties" : {  }, "schema" : "https://github.com/citation-style-language/schema/raw/master/csl-citation.json" }</w:instrText>
      </w:r>
      <w:r w:rsidRPr="00D46669">
        <w:rPr>
          <w:rFonts w:ascii="Arial" w:hAnsi="Arial" w:cs="Arial"/>
          <w:color w:val="000000"/>
          <w:sz w:val="20"/>
          <w:szCs w:val="20"/>
          <w:shd w:val="clear" w:color="auto" w:fill="FFFFFF"/>
        </w:rPr>
        <w:fldChar w:fldCharType="separate"/>
      </w:r>
      <w:r w:rsidRPr="00D46669">
        <w:rPr>
          <w:rFonts w:ascii="Arial" w:hAnsi="Arial" w:cs="Arial"/>
          <w:noProof/>
          <w:color w:val="000000"/>
          <w:sz w:val="20"/>
          <w:szCs w:val="20"/>
          <w:shd w:val="clear" w:color="auto" w:fill="FFFFFF"/>
        </w:rPr>
        <w:t xml:space="preserve">(Pavlov </w:t>
      </w:r>
      <w:r w:rsidR="00653B61" w:rsidRPr="00D46669">
        <w:rPr>
          <w:rFonts w:ascii="Arial" w:hAnsi="Arial" w:cs="Arial"/>
          <w:noProof/>
          <w:color w:val="000000"/>
          <w:sz w:val="20"/>
          <w:szCs w:val="20"/>
          <w:shd w:val="clear" w:color="auto" w:fill="FFFFFF"/>
        </w:rPr>
        <w:t>i</w:t>
      </w:r>
      <w:r w:rsidRPr="00D46669">
        <w:rPr>
          <w:rFonts w:ascii="Arial" w:hAnsi="Arial" w:cs="Arial"/>
          <w:noProof/>
          <w:color w:val="000000"/>
          <w:sz w:val="20"/>
          <w:szCs w:val="20"/>
          <w:shd w:val="clear" w:color="auto" w:fill="FFFFFF"/>
        </w:rPr>
        <w:t xml:space="preserve"> Tracey, 2012)</w:t>
      </w:r>
      <w:r w:rsidRPr="00D46669">
        <w:rPr>
          <w:rFonts w:ascii="Arial" w:hAnsi="Arial" w:cs="Arial"/>
          <w:color w:val="000000"/>
          <w:sz w:val="20"/>
          <w:szCs w:val="20"/>
          <w:shd w:val="clear" w:color="auto" w:fill="FFFFFF"/>
        </w:rPr>
        <w:fldChar w:fldCharType="end"/>
      </w:r>
      <w:r w:rsidRPr="00D46669">
        <w:rPr>
          <w:rFonts w:ascii="Arial" w:hAnsi="Arial" w:cs="Arial"/>
          <w:color w:val="000000"/>
          <w:sz w:val="20"/>
          <w:szCs w:val="20"/>
          <w:shd w:val="clear" w:color="auto" w:fill="FFFFFF"/>
        </w:rPr>
        <w:t>, dvije ključne homeostatske funk</w:t>
      </w:r>
      <w:r w:rsidRPr="00C931C3">
        <w:rPr>
          <w:rFonts w:ascii="Arial" w:hAnsi="Arial" w:cs="Arial"/>
          <w:color w:val="000000"/>
          <w:sz w:val="20"/>
          <w:szCs w:val="20"/>
          <w:shd w:val="clear" w:color="auto" w:fill="FFFFFF"/>
        </w:rPr>
        <w:t>cije povezane s etiopatogenezom AD. Metabolička regulacija posredovana vagusom zasniva se na integraciji perifernih aferentnih informacija</w:t>
      </w:r>
      <w:r w:rsidR="00653B61">
        <w:rPr>
          <w:rFonts w:ascii="Arial" w:hAnsi="Arial" w:cs="Arial"/>
          <w:color w:val="000000"/>
          <w:sz w:val="20"/>
          <w:szCs w:val="20"/>
          <w:shd w:val="clear" w:color="auto" w:fill="FFFFFF"/>
        </w:rPr>
        <w:t xml:space="preserve"> </w:t>
      </w:r>
      <w:r w:rsidRPr="00C931C3">
        <w:rPr>
          <w:rFonts w:ascii="Arial" w:hAnsi="Arial" w:cs="Arial"/>
          <w:color w:val="000000"/>
          <w:sz w:val="20"/>
          <w:szCs w:val="20"/>
          <w:shd w:val="clear" w:color="auto" w:fill="FFFFFF"/>
        </w:rPr>
        <w:t xml:space="preserve">(iz </w:t>
      </w:r>
      <w:r w:rsidRPr="00D46669">
        <w:rPr>
          <w:rFonts w:ascii="Arial" w:hAnsi="Arial" w:cs="Arial"/>
          <w:color w:val="000000"/>
          <w:sz w:val="20"/>
          <w:szCs w:val="20"/>
          <w:shd w:val="clear" w:color="auto" w:fill="FFFFFF"/>
        </w:rPr>
        <w:t xml:space="preserve">probavnog trakta, jetre i gušterače), centralnih informacija (iz moždane kore i hipotalamusa) i informacija </w:t>
      </w:r>
      <w:r w:rsidRPr="00D46669">
        <w:rPr>
          <w:rFonts w:ascii="Arial" w:hAnsi="Arial" w:cs="Arial"/>
          <w:color w:val="000000"/>
          <w:sz w:val="20"/>
          <w:szCs w:val="20"/>
          <w:shd w:val="clear" w:color="auto" w:fill="FFFFFF"/>
        </w:rPr>
        <w:lastRenderedPageBreak/>
        <w:t xml:space="preserve">koje pristižu u DMNX neposrednim učinkom na dorzalni vagalni kompleks (eng. dorsal vagal complex; DVC) putem </w:t>
      </w:r>
      <w:r w:rsidRPr="008E12F1">
        <w:rPr>
          <w:rFonts w:ascii="Arial" w:hAnsi="Arial" w:cs="Arial"/>
          <w:i/>
          <w:color w:val="000000"/>
          <w:sz w:val="20"/>
          <w:szCs w:val="20"/>
          <w:shd w:val="clear" w:color="auto" w:fill="FFFFFF"/>
        </w:rPr>
        <w:t>aree postreme</w:t>
      </w:r>
      <w:r w:rsidRPr="00D46669">
        <w:rPr>
          <w:rFonts w:ascii="Arial" w:hAnsi="Arial" w:cs="Arial"/>
          <w:color w:val="000000"/>
          <w:sz w:val="20"/>
          <w:szCs w:val="20"/>
          <w:shd w:val="clear" w:color="auto" w:fill="FFFFFF"/>
        </w:rPr>
        <w:t xml:space="preserve"> (AP), te odgovarajućem eferentnom odgovoru koji regulira funkciju probavnog sustava, metabolizam jetre te endokrinu i egzokrinu funkciju gušterače </w:t>
      </w:r>
      <w:r w:rsidRPr="00D46669">
        <w:rPr>
          <w:rFonts w:ascii="Arial" w:hAnsi="Arial" w:cs="Arial"/>
          <w:color w:val="000000"/>
          <w:sz w:val="20"/>
          <w:szCs w:val="20"/>
          <w:shd w:val="clear" w:color="auto" w:fill="FFFFFF"/>
        </w:rPr>
        <w:fldChar w:fldCharType="begin" w:fldLock="1"/>
      </w:r>
      <w:r w:rsidRPr="00D46669">
        <w:rPr>
          <w:rFonts w:ascii="Arial" w:hAnsi="Arial" w:cs="Arial"/>
          <w:color w:val="000000"/>
          <w:sz w:val="20"/>
          <w:szCs w:val="20"/>
          <w:shd w:val="clear" w:color="auto" w:fill="FFFFFF"/>
        </w:rPr>
        <w:instrText>ADDIN CSL_CITATION { "citationItems" : [ { "id" : "ITEM-1", "itemData" : { "DOI" : "10.1038/nrendo.2012.189", "ISSN" : "1759-5037", "PMID" : "23169440", "abstract" : "The vagus nerve has an important role in regulation of metabolic homeostasis, and efferent vagus nerve-mediated cholinergic signalling controls immune function and proinflammatory responses via the inflammatory reflex. Dysregulation of metabolism and immune function in obesity are associated with chronic inflammation, a critical step in the pathogenesis of insulin resistance and type 2 diabetes mellitus. Cholinergic mechanisms within the inflammatory reflex have, in the past 2 years, been implicated in attenuating obesity-related inflammation and metabolic complications. This knowledge has led to the exploration of novel therapeutic approaches in the treatment of obesity-related disorders.", "author" : [ { "dropping-particle" : "", "family" : "Pavlov", "given" : "Valentin A", "non-dropping-particle" : "", "parse-names" : false, "suffix" : "" }, { "dropping-particle" : "", "family" : "Tracey", "given" : "Kevin J", "non-dropping-particle" : "", "parse-names" : false, "suffix" : "" } ], "container-title" : "Nature reviews. Endocrinology", "id" : "ITEM-1", "issue" : "12", "issued" : { "date-parts" : [ [ "2012", "12" ] ] }, "page" : "743-54", "publisher" : "NIH Public Access", "title" : "The vagus nerve and the inflammatory reflex--linking immunity and metabolism.", "type" : "article-journal", "volume" : "8" }, "uris" : [ "http://www.mendeley.com/documents/?uuid=5fe7b8fc-aef6-3c2d-98a0-2127c9cae701" ] } ], "mendeley" : { "formattedCitation" : "(Pavlov &amp; Tracey, 2012)", "plainTextFormattedCitation" : "(Pavlov &amp; Tracey, 2012)", "previouslyFormattedCitation" : "(Pavlov &amp; Tracey, 2012)" }, "properties" : {  }, "schema" : "https://github.com/citation-style-language/schema/raw/master/csl-citation.json" }</w:instrText>
      </w:r>
      <w:r w:rsidRPr="00D46669">
        <w:rPr>
          <w:rFonts w:ascii="Arial" w:hAnsi="Arial" w:cs="Arial"/>
          <w:color w:val="000000"/>
          <w:sz w:val="20"/>
          <w:szCs w:val="20"/>
          <w:shd w:val="clear" w:color="auto" w:fill="FFFFFF"/>
        </w:rPr>
        <w:fldChar w:fldCharType="separate"/>
      </w:r>
      <w:r w:rsidRPr="00D46669">
        <w:rPr>
          <w:rFonts w:ascii="Arial" w:hAnsi="Arial" w:cs="Arial"/>
          <w:noProof/>
          <w:color w:val="000000"/>
          <w:sz w:val="20"/>
          <w:szCs w:val="20"/>
          <w:shd w:val="clear" w:color="auto" w:fill="FFFFFF"/>
        </w:rPr>
        <w:t xml:space="preserve">(Pavlov </w:t>
      </w:r>
      <w:r w:rsidR="00653B61" w:rsidRPr="00D46669">
        <w:rPr>
          <w:rFonts w:ascii="Arial" w:hAnsi="Arial" w:cs="Arial"/>
          <w:noProof/>
          <w:color w:val="000000"/>
          <w:sz w:val="20"/>
          <w:szCs w:val="20"/>
          <w:shd w:val="clear" w:color="auto" w:fill="FFFFFF"/>
        </w:rPr>
        <w:t>i</w:t>
      </w:r>
      <w:r w:rsidRPr="00D46669">
        <w:rPr>
          <w:rFonts w:ascii="Arial" w:hAnsi="Arial" w:cs="Arial"/>
          <w:noProof/>
          <w:color w:val="000000"/>
          <w:sz w:val="20"/>
          <w:szCs w:val="20"/>
          <w:shd w:val="clear" w:color="auto" w:fill="FFFFFF"/>
        </w:rPr>
        <w:t xml:space="preserve"> Tracey, 2012)</w:t>
      </w:r>
      <w:r w:rsidRPr="00D46669">
        <w:rPr>
          <w:rFonts w:ascii="Arial" w:hAnsi="Arial" w:cs="Arial"/>
          <w:color w:val="000000"/>
          <w:sz w:val="20"/>
          <w:szCs w:val="20"/>
          <w:shd w:val="clear" w:color="auto" w:fill="FFFFFF"/>
        </w:rPr>
        <w:fldChar w:fldCharType="end"/>
      </w:r>
      <w:r w:rsidRPr="00D46669">
        <w:rPr>
          <w:rFonts w:ascii="Arial" w:hAnsi="Arial" w:cs="Arial"/>
          <w:color w:val="000000"/>
          <w:sz w:val="20"/>
          <w:szCs w:val="20"/>
          <w:shd w:val="clear" w:color="auto" w:fill="FFFFFF"/>
        </w:rPr>
        <w:t xml:space="preserve">. Vagalna regulacije upale posredovana je vagalnim upalnim refleksom (eng. vagal inflammatory reflex; VIR), integriranim fiziološkim mehanizmom čiji aferentni krak sudjeluje u prepoznavanju proupalnih citokina, molekularnih obrazaca povezanih s ozljedom (eng. damage-associated molecular pattern; DAMP) i molekularnih obrazaca povezanih s patogenima (eng. pathogen-associated molecular pattern; PAMP), a eferentni krak regulira upalni odgovor primarno putem modulacije urođenog imunosnog sustava </w:t>
      </w:r>
      <w:r w:rsidRPr="00D46669">
        <w:rPr>
          <w:rFonts w:ascii="Arial" w:hAnsi="Arial" w:cs="Arial"/>
          <w:color w:val="000000"/>
          <w:sz w:val="20"/>
          <w:szCs w:val="20"/>
          <w:shd w:val="clear" w:color="auto" w:fill="FFFFFF"/>
        </w:rPr>
        <w:fldChar w:fldCharType="begin" w:fldLock="1"/>
      </w:r>
      <w:r w:rsidRPr="00D46669">
        <w:rPr>
          <w:rFonts w:ascii="Arial" w:hAnsi="Arial" w:cs="Arial"/>
          <w:color w:val="000000"/>
          <w:sz w:val="20"/>
          <w:szCs w:val="20"/>
          <w:shd w:val="clear" w:color="auto" w:fill="FFFFFF"/>
        </w:rPr>
        <w:instrText>ADDIN CSL_CITATION { "citationItems" : [ { "id" : "ITEM-1", "itemData" : { "DOI" : "10.1038/nrendo.2012.189", "ISSN" : "1759-5037", "PMID" : "23169440", "abstract" : "The vagus nerve has an important role in regulation of metabolic homeostasis, and efferent vagus nerve-mediated cholinergic signalling controls immune function and proinflammatory responses via the inflammatory reflex. Dysregulation of metabolism and immune function in obesity are associated with chronic inflammation, a critical step in the pathogenesis of insulin resistance and type 2 diabetes mellitus. Cholinergic mechanisms within the inflammatory reflex have, in the past 2 years, been implicated in attenuating obesity-related inflammation and metabolic complications. This knowledge has led to the exploration of novel therapeutic approaches in the treatment of obesity-related disorders.", "author" : [ { "dropping-particle" : "", "family" : "Pavlov", "given" : "Valentin A", "non-dropping-particle" : "", "parse-names" : false, "suffix" : "" }, { "dropping-particle" : "", "family" : "Tracey", "given" : "Kevin J", "non-dropping-particle" : "", "parse-names" : false, "suffix" : "" } ], "container-title" : "Nature reviews. Endocrinology", "id" : "ITEM-1", "issue" : "12", "issued" : { "date-parts" : [ [ "2012", "12" ] ] }, "page" : "743-54", "publisher" : "NIH Public Access", "title" : "The vagus nerve and the inflammatory reflex--linking immunity and metabolism.", "type" : "article-journal", "volume" : "8" }, "uris" : [ "http://www.mendeley.com/documents/?uuid=5fe7b8fc-aef6-3c2d-98a0-2127c9cae701" ] }, { "id" : "ITEM-2", "itemData" : { "DOI" : "10.1016/j.immuni.2017.06.008", "ISSN" : "10747613", "PMID" : "28636960", "abstract" : "Active research at the frontiers of immunology and neuroscience has identified multiple points of interaction and communication between the immune system and the nervous system. Immune cell activation stimulates neuronal circuits that regulate innate and adaptive immunity. Molecular mechanistic insights into the inflammatory reflex and other neuro-immune interactions have greatly advanced our understanding of immunity and identified new therapeutic possibilities in inflammatory and autoimmune diseases. Recent successful clinical trials using bioelectronic devices that modulate the inflammatory reflex to significantly ameliorate rheumatoid arthritis and inflammatory bowel disease provide a path for using electrons as a therapeutic modality for targeting molecular mechanisms of immunity. Here, we review mechanisms of peripheral sensory neuronal function in response to immune challenges, the neural regulation of immunity and inflammation, and the therapeutic implications of those mechanistic insights.", "author" : [ { "dropping-particle" : "", "family" : "Chavan", "given" : "Sangeeta S.", "non-dropping-particle" : "", "parse-names" : false, "suffix" : "" }, { "dropping-particle" : "", "family" : "Pavlov", "given" : "Valentin A.", "non-dropping-particle" : "", "parse-names" : false, "suffix" : "" }, { "dropping-particle" : "", "family" : "Tracey", "given" : "Kevin J.", "non-dropping-particle" : "", "parse-names" : false, "suffix" : "" } ], "container-title" : "Immunity", "id" : "ITEM-2", "issue" : "6", "issued" : { "date-parts" : [ [ "2017", "6", "20" ] ] }, "page" : "927-942", "title" : "Mechanisms and Therapeutic Relevance of Neuro-immune Communication", "type" : "article-journal", "volume" : "46" }, "uris" : [ "http://www.mendeley.com/documents/?uuid=f76484aa-d590-372c-ae91-2df770813e5e" ] } ], "mendeley" : { "formattedCitation" : "(Chavan, Pavlov, &amp; Tracey, 2017; Pavlov &amp; Tracey, 2012)", "plainTextFormattedCitation" : "(Chavan, Pavlov, &amp; Tracey, 2017; Pavlov &amp; Tracey, 2012)", "previouslyFormattedCitation" : "(Chavan, Pavlov, &amp; Tracey, 2017; Pavlov &amp; Tracey, 2012)" }, "properties" : {  }, "schema" : "https://github.com/citation-style-language/schema/raw/master/csl-citation.json" }</w:instrText>
      </w:r>
      <w:r w:rsidRPr="00D46669">
        <w:rPr>
          <w:rFonts w:ascii="Arial" w:hAnsi="Arial" w:cs="Arial"/>
          <w:color w:val="000000"/>
          <w:sz w:val="20"/>
          <w:szCs w:val="20"/>
          <w:shd w:val="clear" w:color="auto" w:fill="FFFFFF"/>
        </w:rPr>
        <w:fldChar w:fldCharType="separate"/>
      </w:r>
      <w:r w:rsidRPr="00D46669">
        <w:rPr>
          <w:rFonts w:ascii="Arial" w:hAnsi="Arial" w:cs="Arial"/>
          <w:noProof/>
          <w:color w:val="000000"/>
          <w:sz w:val="20"/>
          <w:szCs w:val="20"/>
          <w:shd w:val="clear" w:color="auto" w:fill="FFFFFF"/>
        </w:rPr>
        <w:t>(Chavan</w:t>
      </w:r>
      <w:r w:rsidR="00653B61" w:rsidRPr="00D46669">
        <w:rPr>
          <w:rFonts w:ascii="Arial" w:hAnsi="Arial" w:cs="Arial"/>
          <w:noProof/>
          <w:color w:val="000000"/>
          <w:sz w:val="20"/>
          <w:szCs w:val="20"/>
          <w:shd w:val="clear" w:color="auto" w:fill="FFFFFF"/>
        </w:rPr>
        <w:t xml:space="preserve"> i sur.</w:t>
      </w:r>
      <w:r w:rsidRPr="00D46669">
        <w:rPr>
          <w:rFonts w:ascii="Arial" w:hAnsi="Arial" w:cs="Arial"/>
          <w:noProof/>
          <w:color w:val="000000"/>
          <w:sz w:val="20"/>
          <w:szCs w:val="20"/>
          <w:shd w:val="clear" w:color="auto" w:fill="FFFFFF"/>
        </w:rPr>
        <w:t xml:space="preserve">, 2017; Pavlov </w:t>
      </w:r>
      <w:r w:rsidR="00653B61" w:rsidRPr="00D46669">
        <w:rPr>
          <w:rFonts w:ascii="Arial" w:hAnsi="Arial" w:cs="Arial"/>
          <w:noProof/>
          <w:color w:val="000000"/>
          <w:sz w:val="20"/>
          <w:szCs w:val="20"/>
          <w:shd w:val="clear" w:color="auto" w:fill="FFFFFF"/>
        </w:rPr>
        <w:t>i</w:t>
      </w:r>
      <w:r w:rsidRPr="00D46669">
        <w:rPr>
          <w:rFonts w:ascii="Arial" w:hAnsi="Arial" w:cs="Arial"/>
          <w:noProof/>
          <w:color w:val="000000"/>
          <w:sz w:val="20"/>
          <w:szCs w:val="20"/>
          <w:shd w:val="clear" w:color="auto" w:fill="FFFFFF"/>
        </w:rPr>
        <w:t xml:space="preserve"> Tracey, 2012)</w:t>
      </w:r>
      <w:r w:rsidRPr="00D46669">
        <w:rPr>
          <w:rFonts w:ascii="Arial" w:hAnsi="Arial" w:cs="Arial"/>
          <w:color w:val="000000"/>
          <w:sz w:val="20"/>
          <w:szCs w:val="20"/>
          <w:shd w:val="clear" w:color="auto" w:fill="FFFFFF"/>
        </w:rPr>
        <w:fldChar w:fldCharType="end"/>
      </w:r>
      <w:r w:rsidRPr="00D46669">
        <w:rPr>
          <w:rFonts w:ascii="Arial" w:hAnsi="Arial" w:cs="Arial"/>
          <w:color w:val="000000"/>
          <w:sz w:val="20"/>
          <w:szCs w:val="20"/>
          <w:shd w:val="clear" w:color="auto" w:fill="FFFFFF"/>
        </w:rPr>
        <w:t xml:space="preserve">. Oštećenje DMNX u AD opisano je na funkcionalnoj </w:t>
      </w:r>
      <w:r w:rsidRPr="00D46669">
        <w:rPr>
          <w:rFonts w:ascii="Arial" w:hAnsi="Arial" w:cs="Arial"/>
          <w:color w:val="000000"/>
          <w:sz w:val="20"/>
          <w:szCs w:val="20"/>
          <w:shd w:val="clear" w:color="auto" w:fill="FFFFFF"/>
        </w:rPr>
        <w:fldChar w:fldCharType="begin" w:fldLock="1"/>
      </w:r>
      <w:r w:rsidRPr="00D46669">
        <w:rPr>
          <w:rFonts w:ascii="Arial" w:hAnsi="Arial" w:cs="Arial"/>
          <w:color w:val="000000"/>
          <w:sz w:val="20"/>
          <w:szCs w:val="20"/>
          <w:shd w:val="clear" w:color="auto" w:fill="FFFFFF"/>
        </w:rPr>
        <w:instrText>ADDIN CSL_CITATION { "citationItems" : [ { "id" : "ITEM-1", "itemData" : { "DOI" : "10.1007/s00702-007-0625-8", "ISSN" : "0300-9564", "PMID" : "17308983", "abstract" : "In Alzheimer's disease (AD), mild functional disturbances should precede gross structural damage and even more clinical symptoms, possibly by decades. Moreover, alterations in the brainstem are supposed to occur earlier as cortical affections. Based on these considerations, we developed a new method aiming at the measurement of vagal brainstem functioning by means of evoked potentials after electrical stimulation of the cutaneous representation of the vagus nerve in the external auditory channel. In the current study, a first sample of patients with Alzheimer's disease (n = 7) and mild cognitive impairment (n = 3) were investigated (6m, 4f, range from 57 to 78 y, mean age 68.6 years). Vagus somatosensory evoked potentials (VSEP) were characterized by significantly longer latencies as compared to healthy age- and gender-matched controls (p &lt; 0.05). Future large scale studies - also including preclinical stages of AD - have to assess the value of this non-invasive, fast and cheap method in the early diagnosis of neurodegenerative disorders.", "author" : [ { "dropping-particle" : "", "family" : "Polak", "given" : "T.", "non-dropping-particle" : "", "parse-names" : false, "suffix" : "" }, { "dropping-particle" : "", "family" : "Ehlis", "given" : "A.-C.", "non-dropping-particle" : "", "parse-names" : false, "suffix" : "" }, { "dropping-particle" : "", "family" : "Langer", "given" : "J. B. M.", "non-dropping-particle" : "", "parse-names" : false, "suffix" : "" }, { "dropping-particle" : "", "family" : "Plichta", "given" : "M. M.", "non-dropping-particle" : "", "parse-names" : false, "suffix" : "" }, { "dropping-particle" : "", "family" : "Metzger", "given" : "F.", "non-dropping-particle" : "", "parse-names" : false, "suffix" : "" }, { "dropping-particle" : "", "family" : "Ringel", "given" : "T. M.", "non-dropping-particle" : "", "parse-names" : false, "suffix" : "" }, { "dropping-particle" : "", "family" : "Fallgatter", "given" : "A. J.", "non-dropping-particle" : "", "parse-names" : false, "suffix" : "" } ], "container-title" : "Journal of Neural Transmission", "id" : "ITEM-1", "issue" : "5", "issued" : { "date-parts" : [ [ "2007", "5", "2" ] ] }, "page" : "613-619", "title" : "Non-invasive measurement of vagus activity in the brainstem \u2013 a methodological progress towards earlier diagnosis of dementias?", "type" : "article-journal", "volume" : "114" }, "uris" : [ "http://www.mendeley.com/documents/?uuid=7f2b4f85-1214-3776-948b-f1cdfe00dc98" ] } ], "mendeley" : { "formattedCitation" : "(Polak et al., 2007)", "plainTextFormattedCitation" : "(Polak et al., 2007)", "previouslyFormattedCitation" : "(Polak et al., 2007)" }, "properties" : {  }, "schema" : "https://github.com/citation-style-language/schema/raw/master/csl-citation.json" }</w:instrText>
      </w:r>
      <w:r w:rsidRPr="00D46669">
        <w:rPr>
          <w:rFonts w:ascii="Arial" w:hAnsi="Arial" w:cs="Arial"/>
          <w:color w:val="000000"/>
          <w:sz w:val="20"/>
          <w:szCs w:val="20"/>
          <w:shd w:val="clear" w:color="auto" w:fill="FFFFFF"/>
        </w:rPr>
        <w:fldChar w:fldCharType="separate"/>
      </w:r>
      <w:r w:rsidRPr="00D46669">
        <w:rPr>
          <w:rFonts w:ascii="Arial" w:hAnsi="Arial" w:cs="Arial"/>
          <w:noProof/>
          <w:color w:val="000000"/>
          <w:sz w:val="20"/>
          <w:szCs w:val="20"/>
          <w:shd w:val="clear" w:color="auto" w:fill="FFFFFF"/>
        </w:rPr>
        <w:t xml:space="preserve">(Polak </w:t>
      </w:r>
      <w:r w:rsidR="0035288F" w:rsidRPr="00D46669">
        <w:rPr>
          <w:rFonts w:ascii="Arial" w:hAnsi="Arial" w:cs="Arial"/>
          <w:noProof/>
          <w:color w:val="000000"/>
          <w:sz w:val="20"/>
          <w:szCs w:val="20"/>
          <w:shd w:val="clear" w:color="auto" w:fill="FFFFFF"/>
        </w:rPr>
        <w:t>i sur</w:t>
      </w:r>
      <w:r w:rsidRPr="00D46669">
        <w:rPr>
          <w:rFonts w:ascii="Arial" w:hAnsi="Arial" w:cs="Arial"/>
          <w:noProof/>
          <w:color w:val="000000"/>
          <w:sz w:val="20"/>
          <w:szCs w:val="20"/>
          <w:shd w:val="clear" w:color="auto" w:fill="FFFFFF"/>
        </w:rPr>
        <w:t>., 2007)</w:t>
      </w:r>
      <w:r w:rsidRPr="00D46669">
        <w:rPr>
          <w:rFonts w:ascii="Arial" w:hAnsi="Arial" w:cs="Arial"/>
          <w:color w:val="000000"/>
          <w:sz w:val="20"/>
          <w:szCs w:val="20"/>
          <w:shd w:val="clear" w:color="auto" w:fill="FFFFFF"/>
        </w:rPr>
        <w:fldChar w:fldCharType="end"/>
      </w:r>
      <w:r w:rsidRPr="00D46669">
        <w:rPr>
          <w:rFonts w:ascii="Arial" w:hAnsi="Arial" w:cs="Arial"/>
          <w:color w:val="000000"/>
          <w:sz w:val="20"/>
          <w:szCs w:val="20"/>
          <w:shd w:val="clear" w:color="auto" w:fill="FFFFFF"/>
        </w:rPr>
        <w:t xml:space="preserve"> i patohistološkoj razini </w:t>
      </w:r>
      <w:r w:rsidRPr="00D46669">
        <w:rPr>
          <w:rFonts w:ascii="Arial" w:hAnsi="Arial" w:cs="Arial"/>
          <w:color w:val="000000"/>
          <w:sz w:val="20"/>
          <w:szCs w:val="20"/>
          <w:shd w:val="clear" w:color="auto" w:fill="FFFFFF"/>
        </w:rPr>
        <w:fldChar w:fldCharType="begin" w:fldLock="1"/>
      </w:r>
      <w:r w:rsidRPr="00D46669">
        <w:rPr>
          <w:rFonts w:ascii="Arial" w:hAnsi="Arial" w:cs="Arial"/>
          <w:color w:val="000000"/>
          <w:sz w:val="20"/>
          <w:szCs w:val="20"/>
          <w:shd w:val="clear" w:color="auto" w:fill="FFFFFF"/>
        </w:rPr>
        <w:instrText>ADDIN CSL_CITATION { "citationItems" : [ { "id" : "ITEM-1", "itemData" : { "ISSN" : "0364-5134", "PMID" : "11198297", "abstract" : "In a study of thioflavin S-stained serial sections from the entire brainstem, we found that the inferior and superior colliculi and the autonomic, monoaminergic, cholinergic, and classical reticular nuclei were affected with varying degrees of severity and frequencies in 32 patients with Alzheimer's disease, whereas no changes were seen in the brainstems of 26 control subjects. The majority of the affected nuclei in patients with Alzheimer's disease exhibit either neurofibrillary tangles or senile plaques, and only a few display both. However, when sections were immunostained with the antibodies 10D5 and AT8 or ALZ50, both beta-amyloid and hyperphosphorylated epitopes of tau protein were found to be present in various concentrations in all the affected nuclei. Our findings suggest that each brainstem nucleus has a distinct vulnerability to Alzheimer's disease-related pathological changes. Given that each nucleus has idiosyncratic neuroanatomical connections and prevailing neurochemical characteristics, the heterogeneous collection of brainstem nuclei can be considered a suitable anatomical ground for further investigation of selective vulnerability in Alzheimer's disease. The finding of severe pathological changes in some brainstem nuclei also raises the possibility that the dysfunction of these nuclei may contribute to the cognitive defects and increased rates of morbidity and mortality in patients with Alzheimer's disease.", "author" : [ { "dropping-particle" : "", "family" : "Parvizi", "given" : "J", "non-dropping-particle" : "", "parse-names" : false, "suffix" : "" }, { "dropping-particle" : "", "family" : "Hoesen", "given" : "G W", "non-dropping-particle" : "Van", "parse-names" : false, "suffix" : "" }, { "dropping-particle" : "", "family" : "Damasio", "given" : "A", "non-dropping-particle" : "", "parse-names" : false, "suffix" : "" } ], "container-title" : "Annals of neurology", "id" : "ITEM-1", "issue" : "1", "issued" : { "date-parts" : [ [ "2001", "1" ] ] }, "page" : "53-66", "title" : "The selective vulnerability of brainstem nuclei to Alzheimer's disease.", "type" : "article-journal", "volume" : "49" }, "uris" : [ "http://www.mendeley.com/documents/?uuid=275173dd-2923-36a6-a685-f6e7860d62fb" ] } ], "mendeley" : { "formattedCitation" : "(Parvizi, Van Hoesen, &amp; Damasio, 2001)", "plainTextFormattedCitation" : "(Parvizi, Van Hoesen, &amp; Damasio, 2001)", "previouslyFormattedCitation" : "(Parvizi, Van Hoesen, &amp; Damasio, 2001)" }, "properties" : {  }, "schema" : "https://github.com/citation-style-language/schema/raw/master/csl-citation.json" }</w:instrText>
      </w:r>
      <w:r w:rsidRPr="00D46669">
        <w:rPr>
          <w:rFonts w:ascii="Arial" w:hAnsi="Arial" w:cs="Arial"/>
          <w:color w:val="000000"/>
          <w:sz w:val="20"/>
          <w:szCs w:val="20"/>
          <w:shd w:val="clear" w:color="auto" w:fill="FFFFFF"/>
        </w:rPr>
        <w:fldChar w:fldCharType="separate"/>
      </w:r>
      <w:r w:rsidRPr="00D46669">
        <w:rPr>
          <w:rFonts w:ascii="Arial" w:hAnsi="Arial" w:cs="Arial"/>
          <w:noProof/>
          <w:color w:val="000000"/>
          <w:sz w:val="20"/>
          <w:szCs w:val="20"/>
          <w:shd w:val="clear" w:color="auto" w:fill="FFFFFF"/>
        </w:rPr>
        <w:t>(Parvizi</w:t>
      </w:r>
      <w:r w:rsidR="0035288F" w:rsidRPr="00D46669">
        <w:rPr>
          <w:rFonts w:ascii="Arial" w:hAnsi="Arial" w:cs="Arial"/>
          <w:noProof/>
          <w:color w:val="000000"/>
          <w:sz w:val="20"/>
          <w:szCs w:val="20"/>
          <w:shd w:val="clear" w:color="auto" w:fill="FFFFFF"/>
        </w:rPr>
        <w:t xml:space="preserve"> i sur.</w:t>
      </w:r>
      <w:r w:rsidRPr="00D46669">
        <w:rPr>
          <w:rFonts w:ascii="Arial" w:hAnsi="Arial" w:cs="Arial"/>
          <w:noProof/>
          <w:color w:val="000000"/>
          <w:sz w:val="20"/>
          <w:szCs w:val="20"/>
          <w:shd w:val="clear" w:color="auto" w:fill="FFFFFF"/>
        </w:rPr>
        <w:t>, 2001)</w:t>
      </w:r>
      <w:r w:rsidRPr="00D46669">
        <w:rPr>
          <w:rFonts w:ascii="Arial" w:hAnsi="Arial" w:cs="Arial"/>
          <w:color w:val="000000"/>
          <w:sz w:val="20"/>
          <w:szCs w:val="20"/>
          <w:shd w:val="clear" w:color="auto" w:fill="FFFFFF"/>
        </w:rPr>
        <w:fldChar w:fldCharType="end"/>
      </w:r>
      <w:r w:rsidRPr="00D46669">
        <w:rPr>
          <w:rFonts w:ascii="Arial" w:hAnsi="Arial" w:cs="Arial"/>
          <w:color w:val="000000"/>
          <w:sz w:val="20"/>
          <w:szCs w:val="20"/>
          <w:shd w:val="clear" w:color="auto" w:fill="FFFFFF"/>
        </w:rPr>
        <w:t xml:space="preserve"> uz još nedovoljno razumijevanje ovih promjena</w:t>
      </w:r>
      <w:r w:rsidRPr="00C931C3">
        <w:rPr>
          <w:rFonts w:ascii="Arial" w:hAnsi="Arial" w:cs="Arial"/>
          <w:color w:val="000000"/>
          <w:sz w:val="20"/>
          <w:szCs w:val="20"/>
          <w:shd w:val="clear" w:color="auto" w:fill="FFFFFF"/>
        </w:rPr>
        <w:t>. Zbog uske povezanosti DMNX s metaboličkom homeo</w:t>
      </w:r>
      <w:r w:rsidR="008E12F1">
        <w:rPr>
          <w:rFonts w:ascii="Arial" w:hAnsi="Arial" w:cs="Arial"/>
          <w:color w:val="000000"/>
          <w:sz w:val="20"/>
          <w:szCs w:val="20"/>
          <w:shd w:val="clear" w:color="auto" w:fill="FFFFFF"/>
        </w:rPr>
        <w:t>stazom i regulacijom upale, koje</w:t>
      </w:r>
      <w:r w:rsidRPr="00C931C3">
        <w:rPr>
          <w:rFonts w:ascii="Arial" w:hAnsi="Arial" w:cs="Arial"/>
          <w:color w:val="000000"/>
          <w:sz w:val="20"/>
          <w:szCs w:val="20"/>
          <w:shd w:val="clear" w:color="auto" w:fill="FFFFFF"/>
        </w:rPr>
        <w:t xml:space="preserve"> se smatraju ključnim procesima u nastanku i progresiji sAD, razjašnjavanje patofiziologije i značaja oštećenja vagalnih jezgara moglo bi dovesti do učinkovitije dijagnostike i liječenja bolesti.</w:t>
      </w:r>
    </w:p>
    <w:p w14:paraId="78C43835" w14:textId="3F63B421" w:rsidR="0035288F" w:rsidRPr="008E12F1" w:rsidRDefault="0035288F" w:rsidP="0035288F">
      <w:pPr>
        <w:pStyle w:val="ListParagraph"/>
        <w:numPr>
          <w:ilvl w:val="0"/>
          <w:numId w:val="8"/>
        </w:numPr>
        <w:spacing w:line="360" w:lineRule="auto"/>
        <w:jc w:val="both"/>
        <w:rPr>
          <w:rFonts w:ascii="Arial" w:hAnsi="Arial" w:cs="Arial"/>
          <w:color w:val="000000"/>
          <w:shd w:val="clear" w:color="auto" w:fill="FFFFFF"/>
        </w:rPr>
      </w:pPr>
      <w:r w:rsidRPr="008E12F1">
        <w:rPr>
          <w:rFonts w:ascii="Arial" w:hAnsi="Arial" w:cs="Arial"/>
          <w:b/>
          <w:color w:val="000000"/>
          <w:shd w:val="clear" w:color="auto" w:fill="FFFFFF"/>
        </w:rPr>
        <w:t>HIPOTEZA</w:t>
      </w:r>
      <w:r w:rsidR="008E12F1">
        <w:rPr>
          <w:rFonts w:ascii="Arial" w:hAnsi="Arial" w:cs="Arial"/>
          <w:b/>
          <w:color w:val="000000"/>
          <w:shd w:val="clear" w:color="auto" w:fill="FFFFFF"/>
        </w:rPr>
        <w:br/>
      </w:r>
    </w:p>
    <w:p w14:paraId="73B4030D" w14:textId="5EE17D9A" w:rsidR="00627A8A" w:rsidRPr="008E12F1" w:rsidRDefault="0035288F" w:rsidP="00862D5B">
      <w:pPr>
        <w:spacing w:line="360" w:lineRule="auto"/>
        <w:jc w:val="both"/>
        <w:rPr>
          <w:rFonts w:ascii="Arial" w:hAnsi="Arial" w:cs="Arial"/>
          <w:color w:val="000000"/>
          <w:sz w:val="28"/>
          <w:szCs w:val="28"/>
          <w:shd w:val="clear" w:color="auto" w:fill="FFFFFF"/>
        </w:rPr>
      </w:pPr>
      <w:r w:rsidRPr="008E12F1">
        <w:rPr>
          <w:rFonts w:ascii="Arial" w:hAnsi="Arial" w:cs="Arial"/>
          <w:color w:val="000000"/>
          <w:sz w:val="20"/>
          <w:szCs w:val="20"/>
          <w:shd w:val="clear" w:color="auto" w:fill="FFFFFF"/>
        </w:rPr>
        <w:t>Intracerebroventrikularna primjena streptozotocina dovodi do biokemijskih promjena u dorzalnoj motornoj jezgri vagusa s funkcionalnim posljedicama na metaboličke funkcije.</w:t>
      </w:r>
      <w:r w:rsidRPr="008E12F1">
        <w:rPr>
          <w:rFonts w:ascii="Arial" w:hAnsi="Arial" w:cs="Arial"/>
          <w:color w:val="000000"/>
          <w:sz w:val="28"/>
          <w:szCs w:val="28"/>
          <w:shd w:val="clear" w:color="auto" w:fill="FFFFFF"/>
        </w:rPr>
        <w:t xml:space="preserve"> </w:t>
      </w:r>
    </w:p>
    <w:p w14:paraId="6995700A" w14:textId="47FF107A" w:rsidR="0035288F" w:rsidRPr="008E12F1" w:rsidRDefault="00627A8A" w:rsidP="008E12F1">
      <w:pPr>
        <w:pStyle w:val="ListParagraph"/>
        <w:numPr>
          <w:ilvl w:val="0"/>
          <w:numId w:val="8"/>
        </w:numPr>
        <w:spacing w:line="360" w:lineRule="auto"/>
        <w:jc w:val="both"/>
        <w:rPr>
          <w:rFonts w:ascii="Arial" w:hAnsi="Arial" w:cs="Arial"/>
          <w:b/>
          <w:color w:val="000000"/>
          <w:shd w:val="clear" w:color="auto" w:fill="FFFFFF"/>
        </w:rPr>
      </w:pPr>
      <w:r w:rsidRPr="008E12F1">
        <w:rPr>
          <w:rFonts w:ascii="Arial" w:hAnsi="Arial" w:cs="Arial"/>
          <w:b/>
          <w:color w:val="000000"/>
          <w:shd w:val="clear" w:color="auto" w:fill="FFFFFF"/>
        </w:rPr>
        <w:t>OPĆI CILJ I SPECIFIČNI CILJEVI</w:t>
      </w:r>
    </w:p>
    <w:p w14:paraId="5DB06FD2" w14:textId="77777777" w:rsidR="008E12F1" w:rsidRDefault="0035288F" w:rsidP="00862D5B">
      <w:pPr>
        <w:spacing w:line="360" w:lineRule="auto"/>
        <w:jc w:val="both"/>
        <w:outlineLvl w:val="1"/>
        <w:rPr>
          <w:rFonts w:ascii="Arial" w:hAnsi="Arial" w:cs="Arial"/>
          <w:b/>
          <w:color w:val="000000"/>
          <w:sz w:val="20"/>
          <w:szCs w:val="20"/>
          <w:shd w:val="clear" w:color="auto" w:fill="FFFFFF"/>
        </w:rPr>
      </w:pPr>
      <w:r w:rsidRPr="0035288F">
        <w:rPr>
          <w:rFonts w:ascii="Arial" w:hAnsi="Arial" w:cs="Arial"/>
          <w:b/>
          <w:color w:val="000000"/>
          <w:sz w:val="20"/>
          <w:szCs w:val="20"/>
          <w:shd w:val="clear" w:color="auto" w:fill="FFFFFF"/>
        </w:rPr>
        <w:t>Opći cilj:</w:t>
      </w:r>
    </w:p>
    <w:p w14:paraId="0DACA875" w14:textId="77777777" w:rsidR="008E12F1" w:rsidRDefault="00C931C3" w:rsidP="00862D5B">
      <w:pPr>
        <w:spacing w:line="360" w:lineRule="auto"/>
        <w:jc w:val="both"/>
        <w:outlineLvl w:val="1"/>
        <w:rPr>
          <w:rFonts w:ascii="Arial" w:hAnsi="Arial" w:cs="Arial"/>
          <w:color w:val="000000"/>
          <w:sz w:val="20"/>
          <w:szCs w:val="20"/>
          <w:shd w:val="clear" w:color="auto" w:fill="FFFFFF"/>
        </w:rPr>
      </w:pPr>
      <w:r w:rsidRPr="0035288F">
        <w:rPr>
          <w:rFonts w:ascii="Arial" w:hAnsi="Arial" w:cs="Arial"/>
          <w:color w:val="000000"/>
          <w:sz w:val="20"/>
          <w:szCs w:val="20"/>
          <w:shd w:val="clear" w:color="auto" w:fill="FFFFFF"/>
        </w:rPr>
        <w:t>Opći cilj rada je ispitati učinak intracerebroventikularnog streptozotocina na biokemijske promjene u dorzalnoj motornoj jezgri vagusa.</w:t>
      </w:r>
    </w:p>
    <w:p w14:paraId="231677FA" w14:textId="4606CB28" w:rsidR="00C931C3" w:rsidRPr="008E12F1" w:rsidRDefault="00C931C3" w:rsidP="00862D5B">
      <w:pPr>
        <w:spacing w:line="360" w:lineRule="auto"/>
        <w:jc w:val="both"/>
        <w:outlineLvl w:val="1"/>
        <w:rPr>
          <w:rFonts w:ascii="Arial" w:hAnsi="Arial" w:cs="Arial"/>
          <w:color w:val="000000"/>
          <w:sz w:val="20"/>
          <w:szCs w:val="20"/>
          <w:shd w:val="clear" w:color="auto" w:fill="FFFFFF"/>
        </w:rPr>
      </w:pPr>
      <w:r w:rsidRPr="0035288F">
        <w:rPr>
          <w:rFonts w:ascii="Arial" w:hAnsi="Arial" w:cs="Arial"/>
          <w:b/>
          <w:color w:val="000000"/>
          <w:sz w:val="20"/>
          <w:szCs w:val="20"/>
          <w:shd w:val="clear" w:color="auto" w:fill="FFFFFF"/>
        </w:rPr>
        <w:t>Specifični ciljevi rada:</w:t>
      </w:r>
    </w:p>
    <w:p w14:paraId="300584FE" w14:textId="77777777" w:rsidR="00C931C3" w:rsidRPr="00C931C3" w:rsidRDefault="00C931C3" w:rsidP="00862D5B">
      <w:pPr>
        <w:pStyle w:val="ListParagraph"/>
        <w:numPr>
          <w:ilvl w:val="0"/>
          <w:numId w:val="9"/>
        </w:numPr>
        <w:spacing w:line="360" w:lineRule="auto"/>
        <w:jc w:val="both"/>
        <w:outlineLvl w:val="1"/>
        <w:rPr>
          <w:rFonts w:ascii="Arial" w:hAnsi="Arial" w:cs="Arial"/>
          <w:color w:val="000000"/>
          <w:sz w:val="20"/>
          <w:szCs w:val="20"/>
          <w:shd w:val="clear" w:color="auto" w:fill="FFFFFF"/>
        </w:rPr>
      </w:pPr>
      <w:r w:rsidRPr="00C931C3">
        <w:rPr>
          <w:rFonts w:ascii="Arial" w:hAnsi="Arial" w:cs="Arial"/>
          <w:color w:val="000000"/>
          <w:sz w:val="20"/>
          <w:szCs w:val="20"/>
          <w:shd w:val="clear" w:color="auto" w:fill="FFFFFF"/>
        </w:rPr>
        <w:t xml:space="preserve">Istražiti utječe li akutna primjena STZ-icv na aktivnost neurona DMNX. </w:t>
      </w:r>
    </w:p>
    <w:p w14:paraId="5ECBCF93" w14:textId="77777777" w:rsidR="00C931C3" w:rsidRPr="00C931C3" w:rsidRDefault="00C931C3" w:rsidP="00862D5B">
      <w:pPr>
        <w:pStyle w:val="ListParagraph"/>
        <w:numPr>
          <w:ilvl w:val="0"/>
          <w:numId w:val="9"/>
        </w:numPr>
        <w:spacing w:line="360" w:lineRule="auto"/>
        <w:jc w:val="both"/>
        <w:outlineLvl w:val="1"/>
        <w:rPr>
          <w:rFonts w:ascii="Arial" w:hAnsi="Arial" w:cs="Arial"/>
          <w:color w:val="000000"/>
          <w:sz w:val="20"/>
          <w:szCs w:val="20"/>
          <w:shd w:val="clear" w:color="auto" w:fill="FFFFFF"/>
        </w:rPr>
      </w:pPr>
      <w:r w:rsidRPr="00C931C3">
        <w:rPr>
          <w:rFonts w:ascii="Arial" w:hAnsi="Arial" w:cs="Arial"/>
          <w:color w:val="000000"/>
          <w:sz w:val="20"/>
          <w:szCs w:val="20"/>
          <w:shd w:val="clear" w:color="auto" w:fill="FFFFFF"/>
        </w:rPr>
        <w:t>Ispitati postoje li akutne metaboličke ili upalne promjene u DMNX nakon STZ-icv.</w:t>
      </w:r>
    </w:p>
    <w:p w14:paraId="4BE7294C" w14:textId="33D5DB80" w:rsidR="00C931C3" w:rsidRPr="00C931C3" w:rsidRDefault="00C931C3" w:rsidP="00862D5B">
      <w:pPr>
        <w:pStyle w:val="ListParagraph"/>
        <w:numPr>
          <w:ilvl w:val="0"/>
          <w:numId w:val="9"/>
        </w:numPr>
        <w:spacing w:line="360" w:lineRule="auto"/>
        <w:jc w:val="both"/>
        <w:outlineLvl w:val="1"/>
        <w:rPr>
          <w:rFonts w:ascii="Arial" w:hAnsi="Arial" w:cs="Arial"/>
          <w:color w:val="000000"/>
          <w:sz w:val="20"/>
          <w:szCs w:val="20"/>
          <w:shd w:val="clear" w:color="auto" w:fill="FFFFFF"/>
        </w:rPr>
      </w:pPr>
      <w:r w:rsidRPr="00C931C3">
        <w:rPr>
          <w:rFonts w:ascii="Arial" w:hAnsi="Arial" w:cs="Arial"/>
          <w:color w:val="000000"/>
          <w:sz w:val="20"/>
          <w:szCs w:val="20"/>
          <w:shd w:val="clear" w:color="auto" w:fill="FFFFFF"/>
        </w:rPr>
        <w:t>Istražiti postoje li promjene metabolizma, inzulinske signalizacije i transportera za glukozu u DMNX mjesec dana nakon STZ-icv.</w:t>
      </w:r>
    </w:p>
    <w:p w14:paraId="7E281BDA" w14:textId="1ED55A2A" w:rsidR="00C931C3" w:rsidRPr="00C931C3" w:rsidRDefault="00C931C3" w:rsidP="00862D5B">
      <w:pPr>
        <w:pStyle w:val="ListParagraph"/>
        <w:numPr>
          <w:ilvl w:val="0"/>
          <w:numId w:val="9"/>
        </w:numPr>
        <w:spacing w:line="360" w:lineRule="auto"/>
        <w:jc w:val="both"/>
        <w:outlineLvl w:val="1"/>
        <w:rPr>
          <w:rFonts w:ascii="Arial" w:hAnsi="Arial" w:cs="Arial"/>
          <w:color w:val="000000"/>
          <w:sz w:val="20"/>
          <w:szCs w:val="20"/>
          <w:shd w:val="clear" w:color="auto" w:fill="FFFFFF"/>
        </w:rPr>
      </w:pPr>
      <w:r w:rsidRPr="00C931C3">
        <w:rPr>
          <w:rFonts w:ascii="Arial" w:hAnsi="Arial" w:cs="Arial"/>
          <w:color w:val="000000"/>
          <w:sz w:val="20"/>
          <w:szCs w:val="20"/>
          <w:shd w:val="clear" w:color="auto" w:fill="FFFFFF"/>
        </w:rPr>
        <w:t>Ispitati utječu li nastale promjene na antioksidativni kapa</w:t>
      </w:r>
      <w:r w:rsidR="0035288F">
        <w:rPr>
          <w:rFonts w:ascii="Arial" w:hAnsi="Arial" w:cs="Arial"/>
          <w:color w:val="000000"/>
          <w:sz w:val="20"/>
          <w:szCs w:val="20"/>
          <w:shd w:val="clear" w:color="auto" w:fill="FFFFFF"/>
        </w:rPr>
        <w:t>c</w:t>
      </w:r>
      <w:r w:rsidRPr="00C931C3">
        <w:rPr>
          <w:rFonts w:ascii="Arial" w:hAnsi="Arial" w:cs="Arial"/>
          <w:color w:val="000000"/>
          <w:sz w:val="20"/>
          <w:szCs w:val="20"/>
          <w:shd w:val="clear" w:color="auto" w:fill="FFFFFF"/>
        </w:rPr>
        <w:t>itet i oksidativni stres u moždanom deblu.</w:t>
      </w:r>
    </w:p>
    <w:p w14:paraId="63C172D4" w14:textId="77777777" w:rsidR="00C931C3" w:rsidRPr="00C931C3" w:rsidRDefault="00C931C3" w:rsidP="00862D5B">
      <w:pPr>
        <w:pStyle w:val="ListParagraph"/>
        <w:numPr>
          <w:ilvl w:val="0"/>
          <w:numId w:val="9"/>
        </w:numPr>
        <w:spacing w:line="360" w:lineRule="auto"/>
        <w:jc w:val="both"/>
        <w:outlineLvl w:val="1"/>
        <w:rPr>
          <w:rFonts w:ascii="Arial" w:hAnsi="Arial" w:cs="Arial"/>
          <w:color w:val="000000"/>
          <w:sz w:val="20"/>
          <w:szCs w:val="20"/>
          <w:shd w:val="clear" w:color="auto" w:fill="FFFFFF"/>
        </w:rPr>
      </w:pPr>
      <w:r w:rsidRPr="00C931C3">
        <w:rPr>
          <w:rFonts w:ascii="Arial" w:hAnsi="Arial" w:cs="Arial"/>
          <w:color w:val="000000"/>
          <w:sz w:val="20"/>
          <w:szCs w:val="20"/>
          <w:shd w:val="clear" w:color="auto" w:fill="FFFFFF"/>
        </w:rPr>
        <w:t>Ispitati imaju li promjene moždanog debla funkcionalne posljedice u modelu akutne primjene peroralne i intraperitonealne galaktoze analizom oksidativnog stresa i metabolizma</w:t>
      </w:r>
    </w:p>
    <w:p w14:paraId="280B9262" w14:textId="5CB0E5EA" w:rsidR="00C931C3" w:rsidRDefault="00C931C3" w:rsidP="00862D5B">
      <w:pPr>
        <w:pStyle w:val="ListParagraph"/>
        <w:numPr>
          <w:ilvl w:val="0"/>
          <w:numId w:val="9"/>
        </w:numPr>
        <w:spacing w:line="360" w:lineRule="auto"/>
        <w:jc w:val="both"/>
        <w:outlineLvl w:val="1"/>
        <w:rPr>
          <w:rFonts w:ascii="Arial" w:hAnsi="Arial" w:cs="Arial"/>
          <w:color w:val="000000"/>
          <w:sz w:val="20"/>
          <w:szCs w:val="20"/>
          <w:shd w:val="clear" w:color="auto" w:fill="FFFFFF"/>
        </w:rPr>
      </w:pPr>
      <w:r w:rsidRPr="00C931C3">
        <w:rPr>
          <w:rFonts w:ascii="Arial" w:hAnsi="Arial" w:cs="Arial"/>
          <w:color w:val="000000"/>
          <w:sz w:val="20"/>
          <w:szCs w:val="20"/>
          <w:shd w:val="clear" w:color="auto" w:fill="FFFFFF"/>
        </w:rPr>
        <w:t>Analizirati jesu li pronađene promjene specifične za DMNX</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p>
    <w:p w14:paraId="0971243E" w14:textId="542E9397" w:rsidR="008E12F1" w:rsidRDefault="008E12F1" w:rsidP="008E12F1">
      <w:pPr>
        <w:spacing w:line="360" w:lineRule="auto"/>
        <w:jc w:val="both"/>
        <w:outlineLvl w:val="1"/>
        <w:rPr>
          <w:rFonts w:ascii="Arial" w:hAnsi="Arial" w:cs="Arial"/>
          <w:color w:val="000000"/>
          <w:sz w:val="20"/>
          <w:szCs w:val="20"/>
          <w:shd w:val="clear" w:color="auto" w:fill="FFFFFF"/>
        </w:rPr>
      </w:pPr>
    </w:p>
    <w:p w14:paraId="19E0EE6F" w14:textId="77777777" w:rsidR="008E12F1" w:rsidRPr="008E12F1" w:rsidRDefault="008E12F1" w:rsidP="008E12F1">
      <w:pPr>
        <w:spacing w:line="360" w:lineRule="auto"/>
        <w:jc w:val="both"/>
        <w:outlineLvl w:val="1"/>
        <w:rPr>
          <w:rFonts w:ascii="Arial" w:hAnsi="Arial" w:cs="Arial"/>
          <w:color w:val="000000"/>
          <w:sz w:val="20"/>
          <w:szCs w:val="20"/>
          <w:shd w:val="clear" w:color="auto" w:fill="FFFFFF"/>
        </w:rPr>
      </w:pPr>
    </w:p>
    <w:p w14:paraId="38370AD9" w14:textId="77777777" w:rsidR="00862D5B" w:rsidRPr="008E12F1" w:rsidRDefault="00C931C3" w:rsidP="00FF1BB5">
      <w:pPr>
        <w:pStyle w:val="ListParagraph"/>
        <w:numPr>
          <w:ilvl w:val="0"/>
          <w:numId w:val="8"/>
        </w:numPr>
        <w:spacing w:line="360" w:lineRule="auto"/>
        <w:outlineLvl w:val="1"/>
        <w:rPr>
          <w:rFonts w:ascii="Arial" w:hAnsi="Arial" w:cs="Arial"/>
          <w:b/>
          <w:color w:val="000000"/>
          <w:shd w:val="clear" w:color="auto" w:fill="FFFFFF"/>
        </w:rPr>
      </w:pPr>
      <w:r w:rsidRPr="008E12F1">
        <w:rPr>
          <w:rFonts w:ascii="Arial" w:hAnsi="Arial" w:cs="Arial"/>
          <w:b/>
        </w:rPr>
        <w:lastRenderedPageBreak/>
        <w:t>MATERIJALI I METODE</w:t>
      </w:r>
    </w:p>
    <w:p w14:paraId="0DA037AC" w14:textId="77777777" w:rsidR="00862D5B" w:rsidRDefault="00C931C3" w:rsidP="00FF1BB5">
      <w:pPr>
        <w:pStyle w:val="ListParagraph"/>
        <w:numPr>
          <w:ilvl w:val="1"/>
          <w:numId w:val="8"/>
        </w:numPr>
        <w:tabs>
          <w:tab w:val="left" w:pos="993"/>
        </w:tabs>
        <w:spacing w:line="360" w:lineRule="auto"/>
        <w:ind w:left="1134" w:hanging="425"/>
        <w:outlineLvl w:val="1"/>
        <w:rPr>
          <w:rFonts w:ascii="Arial" w:hAnsi="Arial" w:cs="Arial"/>
          <w:b/>
          <w:color w:val="000000"/>
          <w:shd w:val="clear" w:color="auto" w:fill="FFFFFF"/>
        </w:rPr>
      </w:pPr>
      <w:r w:rsidRPr="00862D5B">
        <w:rPr>
          <w:rFonts w:ascii="Arial" w:hAnsi="Arial" w:cs="Arial"/>
          <w:b/>
          <w:color w:val="000000"/>
          <w:shd w:val="clear" w:color="auto" w:fill="FFFFFF"/>
        </w:rPr>
        <w:t xml:space="preserve">Materijali </w:t>
      </w:r>
    </w:p>
    <w:p w14:paraId="68657B95" w14:textId="3FBC8CAC" w:rsidR="00C931C3" w:rsidRPr="00862D5B" w:rsidRDefault="00862D5B" w:rsidP="00862D5B">
      <w:pPr>
        <w:pStyle w:val="ListParagraph"/>
        <w:numPr>
          <w:ilvl w:val="2"/>
          <w:numId w:val="8"/>
        </w:numPr>
        <w:tabs>
          <w:tab w:val="left" w:pos="993"/>
        </w:tabs>
        <w:spacing w:line="360" w:lineRule="auto"/>
        <w:outlineLvl w:val="1"/>
        <w:rPr>
          <w:rFonts w:ascii="Arial" w:hAnsi="Arial" w:cs="Arial"/>
          <w:color w:val="000000"/>
          <w:shd w:val="clear" w:color="auto" w:fill="FFFFFF"/>
        </w:rPr>
      </w:pPr>
      <w:r w:rsidRPr="00862D5B">
        <w:rPr>
          <w:rFonts w:ascii="Arial" w:hAnsi="Arial" w:cs="Arial"/>
          <w:color w:val="000000"/>
          <w:shd w:val="clear" w:color="auto" w:fill="FFFFFF"/>
        </w:rPr>
        <w:t>Kemikalije</w:t>
      </w:r>
      <w:r w:rsidR="00C931C3" w:rsidRPr="00862D5B">
        <w:rPr>
          <w:rFonts w:ascii="Arial" w:hAnsi="Arial" w:cs="Arial"/>
          <w:color w:val="000000"/>
          <w:shd w:val="clear" w:color="auto" w:fill="FFFFFF"/>
        </w:rPr>
        <w:br/>
      </w:r>
    </w:p>
    <w:p w14:paraId="041DE2F9" w14:textId="0218DEB9" w:rsidR="00FF1BB5" w:rsidRPr="00862D5B" w:rsidRDefault="00FF1BB5" w:rsidP="001D5178">
      <w:pPr>
        <w:spacing w:line="360" w:lineRule="auto"/>
        <w:jc w:val="both"/>
        <w:outlineLvl w:val="1"/>
        <w:rPr>
          <w:rFonts w:ascii="Arial" w:hAnsi="Arial" w:cs="Arial"/>
          <w:b/>
          <w:color w:val="000000"/>
          <w:sz w:val="28"/>
          <w:szCs w:val="28"/>
          <w:shd w:val="clear" w:color="auto" w:fill="FFFFFF"/>
        </w:rPr>
      </w:pPr>
      <w:r w:rsidRPr="00862D5B">
        <w:rPr>
          <w:rFonts w:ascii="Arial" w:hAnsi="Arial" w:cs="Arial"/>
          <w:color w:val="000000"/>
          <w:sz w:val="20"/>
          <w:szCs w:val="20"/>
          <w:shd w:val="clear" w:color="auto" w:fill="FFFFFF"/>
        </w:rPr>
        <w:t>U istraživanju korišten</w:t>
      </w:r>
      <w:r w:rsidR="00A03850">
        <w:rPr>
          <w:rFonts w:ascii="Arial" w:hAnsi="Arial" w:cs="Arial"/>
          <w:color w:val="000000"/>
          <w:sz w:val="20"/>
          <w:szCs w:val="20"/>
          <w:shd w:val="clear" w:color="auto" w:fill="FFFFFF"/>
        </w:rPr>
        <w:t xml:space="preserve">a su primarna protutijela na IR, GLUT4 </w:t>
      </w:r>
      <w:r w:rsidRPr="00862D5B">
        <w:rPr>
          <w:rFonts w:ascii="Arial" w:hAnsi="Arial" w:cs="Arial"/>
          <w:color w:val="000000"/>
          <w:sz w:val="20"/>
          <w:szCs w:val="20"/>
          <w:shd w:val="clear" w:color="auto" w:fill="FFFFFF"/>
        </w:rPr>
        <w:t>(Merck Millipore</w:t>
      </w:r>
      <w:r w:rsidR="00A03850">
        <w:rPr>
          <w:rFonts w:ascii="Arial" w:hAnsi="Arial" w:cs="Arial"/>
          <w:color w:val="000000"/>
          <w:sz w:val="20"/>
          <w:szCs w:val="20"/>
          <w:shd w:val="clear" w:color="auto" w:fill="FFFFFF"/>
        </w:rPr>
        <w:t>, SAD</w:t>
      </w:r>
      <w:r w:rsidRPr="00862D5B">
        <w:rPr>
          <w:rFonts w:ascii="Arial" w:hAnsi="Arial" w:cs="Arial"/>
          <w:color w:val="000000"/>
          <w:sz w:val="20"/>
          <w:szCs w:val="20"/>
          <w:shd w:val="clear" w:color="auto" w:fill="FFFFFF"/>
        </w:rPr>
        <w:t>), GF</w:t>
      </w:r>
      <w:r w:rsidR="00A03850">
        <w:rPr>
          <w:rFonts w:ascii="Arial" w:hAnsi="Arial" w:cs="Arial"/>
          <w:color w:val="000000"/>
          <w:sz w:val="20"/>
          <w:szCs w:val="20"/>
          <w:shd w:val="clear" w:color="auto" w:fill="FFFFFF"/>
        </w:rPr>
        <w:t>AP, aktin, c-fos (Sigma Aldrich,</w:t>
      </w:r>
      <w:r w:rsidRPr="00862D5B">
        <w:rPr>
          <w:rFonts w:ascii="Arial" w:hAnsi="Arial" w:cs="Arial"/>
          <w:color w:val="000000"/>
          <w:sz w:val="20"/>
          <w:szCs w:val="20"/>
          <w:shd w:val="clear" w:color="auto" w:fill="FFFFFF"/>
        </w:rPr>
        <w:t xml:space="preserve"> Njemačka), pULK1, pP70S6k, P70S6k, pERK1/2, ERK1/2, pIRS1 (Cell-signaling </w:t>
      </w:r>
      <w:r w:rsidR="00A03850">
        <w:rPr>
          <w:rFonts w:ascii="Arial" w:hAnsi="Arial" w:cs="Arial"/>
          <w:color w:val="000000"/>
          <w:sz w:val="20"/>
          <w:szCs w:val="20"/>
          <w:shd w:val="clear" w:color="auto" w:fill="FFFFFF"/>
        </w:rPr>
        <w:t>,</w:t>
      </w:r>
      <w:r w:rsidRPr="00862D5B">
        <w:rPr>
          <w:rFonts w:ascii="Arial" w:hAnsi="Arial" w:cs="Arial"/>
          <w:color w:val="000000"/>
          <w:sz w:val="20"/>
          <w:szCs w:val="20"/>
          <w:shd w:val="clear" w:color="auto" w:fill="FFFFFF"/>
        </w:rPr>
        <w:t>SAD</w:t>
      </w:r>
      <w:r w:rsidR="00041369">
        <w:rPr>
          <w:rFonts w:ascii="Arial" w:hAnsi="Arial" w:cs="Arial"/>
          <w:color w:val="000000"/>
          <w:sz w:val="20"/>
          <w:szCs w:val="20"/>
          <w:shd w:val="clear" w:color="auto" w:fill="FFFFFF"/>
        </w:rPr>
        <w:t>)</w:t>
      </w:r>
      <w:r w:rsidRPr="00862D5B">
        <w:rPr>
          <w:rFonts w:ascii="Arial" w:hAnsi="Arial" w:cs="Arial"/>
          <w:color w:val="000000"/>
          <w:sz w:val="20"/>
          <w:szCs w:val="20"/>
          <w:shd w:val="clear" w:color="auto" w:fill="FFFFFF"/>
        </w:rPr>
        <w:t>, GLUT3 (Santa Cruz</w:t>
      </w:r>
      <w:r w:rsidR="00041369">
        <w:rPr>
          <w:rFonts w:ascii="Arial" w:hAnsi="Arial" w:cs="Arial"/>
          <w:color w:val="000000"/>
          <w:sz w:val="20"/>
          <w:szCs w:val="20"/>
          <w:shd w:val="clear" w:color="auto" w:fill="FFFFFF"/>
        </w:rPr>
        <w:t>, SAD</w:t>
      </w:r>
      <w:r w:rsidRPr="00862D5B">
        <w:rPr>
          <w:rFonts w:ascii="Arial" w:hAnsi="Arial" w:cs="Arial"/>
          <w:color w:val="000000"/>
          <w:sz w:val="20"/>
          <w:szCs w:val="20"/>
          <w:shd w:val="clear" w:color="auto" w:fill="FFFFFF"/>
        </w:rPr>
        <w:t>)</w:t>
      </w:r>
      <w:r w:rsidR="00A03850">
        <w:rPr>
          <w:rFonts w:ascii="Arial" w:hAnsi="Arial" w:cs="Arial"/>
          <w:color w:val="000000"/>
          <w:sz w:val="20"/>
          <w:szCs w:val="20"/>
          <w:shd w:val="clear" w:color="auto" w:fill="FFFFFF"/>
        </w:rPr>
        <w:t>.</w:t>
      </w:r>
      <w:r w:rsidRPr="00862D5B">
        <w:rPr>
          <w:rFonts w:ascii="Arial" w:hAnsi="Arial" w:cs="Arial"/>
          <w:color w:val="000000"/>
          <w:sz w:val="20"/>
          <w:szCs w:val="20"/>
          <w:shd w:val="clear" w:color="auto" w:fill="FFFFFF"/>
        </w:rPr>
        <w:t xml:space="preserve"> Sekundarna protutijela korištena u istraživanju su s HRP povezana protutijela na IgG miša i s HRP povezana protutijela na IgG zeca (Cell-signaling, SAD) te fluorescentna protutijela AlexaFluor488 i AlexaFluor555 (Invitrogen</w:t>
      </w:r>
      <w:r w:rsidR="00A03850">
        <w:rPr>
          <w:rFonts w:ascii="Arial" w:hAnsi="Arial" w:cs="Arial"/>
          <w:color w:val="000000"/>
          <w:sz w:val="20"/>
          <w:szCs w:val="20"/>
          <w:shd w:val="clear" w:color="auto" w:fill="FFFFFF"/>
        </w:rPr>
        <w:t>, SAD</w:t>
      </w:r>
      <w:r w:rsidRPr="00862D5B">
        <w:rPr>
          <w:rFonts w:ascii="Arial" w:hAnsi="Arial" w:cs="Arial"/>
          <w:color w:val="000000"/>
          <w:sz w:val="20"/>
          <w:szCs w:val="20"/>
          <w:shd w:val="clear" w:color="auto" w:fill="FFFFFF"/>
        </w:rPr>
        <w:t>). Za dobivanje modela sAD korišten je</w:t>
      </w:r>
      <w:r w:rsidR="00A03850">
        <w:rPr>
          <w:rFonts w:ascii="Arial" w:hAnsi="Arial" w:cs="Arial"/>
          <w:color w:val="000000"/>
          <w:sz w:val="20"/>
          <w:szCs w:val="20"/>
          <w:shd w:val="clear" w:color="auto" w:fill="FFFFFF"/>
        </w:rPr>
        <w:t xml:space="preserve"> streptozotocin (Sigma-Aldrich, Njemačka</w:t>
      </w:r>
      <w:r w:rsidR="00863DC2" w:rsidRPr="00862D5B">
        <w:rPr>
          <w:rFonts w:ascii="Arial" w:hAnsi="Arial" w:cs="Arial"/>
          <w:color w:val="000000"/>
          <w:sz w:val="20"/>
          <w:szCs w:val="20"/>
          <w:shd w:val="clear" w:color="auto" w:fill="FFFFFF"/>
        </w:rPr>
        <w:t>)</w:t>
      </w:r>
      <w:r w:rsidRPr="00862D5B">
        <w:rPr>
          <w:rFonts w:ascii="Arial" w:hAnsi="Arial" w:cs="Arial"/>
          <w:color w:val="000000"/>
          <w:sz w:val="20"/>
          <w:szCs w:val="20"/>
          <w:shd w:val="clear" w:color="auto" w:fill="FFFFFF"/>
        </w:rPr>
        <w:t>.</w:t>
      </w:r>
    </w:p>
    <w:p w14:paraId="65E034A0" w14:textId="77777777" w:rsidR="001D5178" w:rsidRPr="001D5178" w:rsidRDefault="00FF1BB5" w:rsidP="00FF1BB5">
      <w:pPr>
        <w:pStyle w:val="ListParagraph"/>
        <w:numPr>
          <w:ilvl w:val="2"/>
          <w:numId w:val="8"/>
        </w:numPr>
        <w:rPr>
          <w:rFonts w:ascii="Arial" w:hAnsi="Arial" w:cs="Arial"/>
          <w:color w:val="000000"/>
          <w:sz w:val="20"/>
          <w:szCs w:val="20"/>
          <w:shd w:val="clear" w:color="auto" w:fill="FFFFFF"/>
        </w:rPr>
      </w:pPr>
      <w:r w:rsidRPr="001D5178">
        <w:rPr>
          <w:rFonts w:ascii="Arial" w:hAnsi="Arial" w:cs="Arial"/>
          <w:color w:val="000000"/>
          <w:shd w:val="clear" w:color="auto" w:fill="FFFFFF"/>
        </w:rPr>
        <w:t>Ž</w:t>
      </w:r>
      <w:r w:rsidR="001D5178">
        <w:rPr>
          <w:rFonts w:ascii="Arial" w:hAnsi="Arial" w:cs="Arial"/>
          <w:color w:val="000000"/>
          <w:shd w:val="clear" w:color="auto" w:fill="FFFFFF"/>
        </w:rPr>
        <w:t>ivotinje</w:t>
      </w:r>
    </w:p>
    <w:p w14:paraId="3A6AC382" w14:textId="77777777" w:rsidR="001D5178" w:rsidRDefault="001D5178" w:rsidP="001D5178">
      <w:pPr>
        <w:pStyle w:val="ListParagraph"/>
        <w:ind w:left="0"/>
        <w:rPr>
          <w:rFonts w:ascii="Arial" w:hAnsi="Arial" w:cs="Arial"/>
          <w:color w:val="000000"/>
          <w:shd w:val="clear" w:color="auto" w:fill="FFFFFF"/>
        </w:rPr>
      </w:pPr>
    </w:p>
    <w:p w14:paraId="2A4FDE44" w14:textId="703C9DFF" w:rsidR="00062C6A" w:rsidRDefault="00FF1BB5" w:rsidP="00A03850">
      <w:pPr>
        <w:pStyle w:val="ListParagraph"/>
        <w:spacing w:line="360" w:lineRule="auto"/>
        <w:jc w:val="both"/>
        <w:rPr>
          <w:rFonts w:ascii="Arial" w:hAnsi="Arial" w:cs="Arial"/>
          <w:color w:val="000000"/>
          <w:sz w:val="20"/>
          <w:szCs w:val="20"/>
          <w:shd w:val="clear" w:color="auto" w:fill="FFFFFF"/>
        </w:rPr>
      </w:pPr>
      <w:r w:rsidRPr="00FF1BB5">
        <w:rPr>
          <w:rFonts w:ascii="Arial" w:hAnsi="Arial" w:cs="Arial"/>
          <w:color w:val="000000"/>
          <w:sz w:val="20"/>
          <w:szCs w:val="20"/>
          <w:shd w:val="clear" w:color="auto" w:fill="FFFFFF"/>
        </w:rPr>
        <w:t xml:space="preserve">Svi pokusi provedeni su na muškim Wistar štakorima starim 3 mjeseca, tjelesne težine između 250 i 300 g, uzgojenim na Zavodu za Farmakologiju Medicinskog fakulteta (dozvola br. HR-POK-007). Sva in vivo istraživanja strogo su slijedila smjernice Zakona o zaštiti životinja (NN 135/06), Zakona o izmjenama i dopunama Zakona o zaštiti životinja (NN 37/13) i Pravilnika o zaštiti životinja koje se koriste u znanstvene svrhe (NN 55/13). Za obavljanje pokusa na projektu, kojeg je ovaj znanstveni rad dio, dobivena je dozvola Etičkog povjerenstva Medicinskog fakulteta Sveučilišta u Zagrebu </w:t>
      </w:r>
      <w:r w:rsidR="00A03850">
        <w:rPr>
          <w:rFonts w:ascii="Arial" w:hAnsi="Arial" w:cs="Arial"/>
          <w:color w:val="000000"/>
          <w:sz w:val="20"/>
          <w:szCs w:val="20"/>
          <w:shd w:val="clear" w:color="auto" w:fill="FFFFFF"/>
        </w:rPr>
        <w:t>(broj 525-</w:t>
      </w:r>
      <w:r w:rsidR="00A03850" w:rsidRPr="00A03850">
        <w:rPr>
          <w:rFonts w:ascii="Arial" w:hAnsi="Arial" w:cs="Arial"/>
          <w:color w:val="000000"/>
          <w:sz w:val="20"/>
          <w:szCs w:val="20"/>
          <w:shd w:val="clear" w:color="auto" w:fill="FFFFFF"/>
        </w:rPr>
        <w:t xml:space="preserve">10/0255-15-5). </w:t>
      </w:r>
      <w:r w:rsidRPr="00FF1BB5">
        <w:rPr>
          <w:rFonts w:ascii="Arial" w:hAnsi="Arial" w:cs="Arial"/>
          <w:color w:val="000000"/>
          <w:sz w:val="20"/>
          <w:szCs w:val="20"/>
          <w:shd w:val="clear" w:color="auto" w:fill="FFFFFF"/>
        </w:rPr>
        <w:t>Sa životinjama su rukovale isključivo osobe službeno osposobljene za rad sa životinjama.</w:t>
      </w:r>
    </w:p>
    <w:p w14:paraId="524BE383" w14:textId="77777777" w:rsidR="00062C6A" w:rsidRDefault="00062C6A" w:rsidP="001D5178">
      <w:pPr>
        <w:pStyle w:val="ListParagraph"/>
        <w:spacing w:line="360" w:lineRule="auto"/>
        <w:ind w:left="0"/>
        <w:jc w:val="both"/>
        <w:rPr>
          <w:rFonts w:ascii="Arial" w:hAnsi="Arial" w:cs="Arial"/>
          <w:color w:val="000000"/>
          <w:sz w:val="20"/>
          <w:szCs w:val="20"/>
          <w:shd w:val="clear" w:color="auto" w:fill="FFFFFF"/>
        </w:rPr>
      </w:pPr>
    </w:p>
    <w:p w14:paraId="4B15D9AD" w14:textId="0B9A5F1F" w:rsidR="00062C6A" w:rsidRDefault="00062C6A" w:rsidP="00062C6A">
      <w:pPr>
        <w:pStyle w:val="ListParagraph"/>
        <w:numPr>
          <w:ilvl w:val="1"/>
          <w:numId w:val="8"/>
        </w:numPr>
        <w:tabs>
          <w:tab w:val="left" w:pos="993"/>
        </w:tabs>
        <w:spacing w:line="360" w:lineRule="auto"/>
        <w:ind w:left="1418" w:hanging="644"/>
        <w:outlineLvl w:val="1"/>
        <w:rPr>
          <w:rFonts w:ascii="Arial" w:hAnsi="Arial" w:cs="Arial"/>
          <w:b/>
          <w:color w:val="000000"/>
          <w:shd w:val="clear" w:color="auto" w:fill="FFFFFF"/>
        </w:rPr>
      </w:pPr>
      <w:r>
        <w:rPr>
          <w:rFonts w:ascii="Arial" w:hAnsi="Arial" w:cs="Arial"/>
          <w:b/>
          <w:color w:val="000000"/>
          <w:shd w:val="clear" w:color="auto" w:fill="FFFFFF"/>
        </w:rPr>
        <w:t>Metode</w:t>
      </w:r>
      <w:r w:rsidRPr="00062C6A">
        <w:rPr>
          <w:rFonts w:ascii="Arial" w:hAnsi="Arial" w:cs="Arial"/>
          <w:b/>
          <w:color w:val="000000"/>
          <w:shd w:val="clear" w:color="auto" w:fill="FFFFFF"/>
        </w:rPr>
        <w:t xml:space="preserve"> </w:t>
      </w:r>
    </w:p>
    <w:p w14:paraId="13DC7043" w14:textId="77777777" w:rsidR="00062C6A" w:rsidRPr="00062C6A" w:rsidRDefault="00062C6A" w:rsidP="003003EE">
      <w:pPr>
        <w:pStyle w:val="ListParagraph"/>
        <w:numPr>
          <w:ilvl w:val="2"/>
          <w:numId w:val="8"/>
        </w:numPr>
        <w:tabs>
          <w:tab w:val="left" w:pos="993"/>
        </w:tabs>
        <w:spacing w:line="360" w:lineRule="auto"/>
        <w:outlineLvl w:val="1"/>
        <w:rPr>
          <w:rFonts w:ascii="Arial" w:hAnsi="Arial" w:cs="Arial"/>
          <w:sz w:val="20"/>
          <w:szCs w:val="20"/>
        </w:rPr>
      </w:pPr>
      <w:r w:rsidRPr="00062C6A">
        <w:rPr>
          <w:rFonts w:ascii="Arial" w:hAnsi="Arial" w:cs="Arial"/>
          <w:color w:val="000000"/>
          <w:shd w:val="clear" w:color="auto" w:fill="FFFFFF"/>
        </w:rPr>
        <w:t>Izrada eksperimentalnog modela sporadične Alzheimerove bolesti</w:t>
      </w:r>
    </w:p>
    <w:p w14:paraId="19EC9F07" w14:textId="62E7B184" w:rsidR="00062C6A" w:rsidRDefault="00062C6A" w:rsidP="00062C6A">
      <w:pPr>
        <w:tabs>
          <w:tab w:val="left" w:pos="993"/>
        </w:tabs>
        <w:spacing w:line="360" w:lineRule="auto"/>
        <w:jc w:val="both"/>
        <w:outlineLvl w:val="1"/>
        <w:rPr>
          <w:rFonts w:ascii="Arial" w:hAnsi="Arial" w:cs="Arial"/>
          <w:sz w:val="20"/>
          <w:szCs w:val="20"/>
        </w:rPr>
      </w:pPr>
      <w:r w:rsidRPr="00062C6A">
        <w:rPr>
          <w:rFonts w:ascii="Arial" w:hAnsi="Arial" w:cs="Arial"/>
          <w:color w:val="000000"/>
          <w:shd w:val="clear" w:color="auto" w:fill="FFFFFF"/>
        </w:rPr>
        <w:t>Š</w:t>
      </w:r>
      <w:r w:rsidR="009A0490" w:rsidRPr="00062C6A">
        <w:rPr>
          <w:rFonts w:ascii="Arial" w:hAnsi="Arial" w:cs="Arial"/>
          <w:sz w:val="20"/>
          <w:szCs w:val="20"/>
        </w:rPr>
        <w:t xml:space="preserve">takorski model sporadične Alzheimerove bolesti bazira se na intracerebroventrikularnoj administraciji streptozotocina (STZ-icv). </w:t>
      </w:r>
      <w:r>
        <w:rPr>
          <w:rFonts w:ascii="Arial" w:hAnsi="Arial" w:cs="Arial"/>
          <w:sz w:val="20"/>
          <w:szCs w:val="20"/>
        </w:rPr>
        <w:t>Š</w:t>
      </w:r>
      <w:r w:rsidR="009A0490" w:rsidRPr="00062C6A">
        <w:rPr>
          <w:rFonts w:ascii="Arial" w:hAnsi="Arial" w:cs="Arial"/>
          <w:sz w:val="20"/>
          <w:szCs w:val="20"/>
        </w:rPr>
        <w:t xml:space="preserve">takori su anestezirani ketaminom (60mg/kg) i ksilazinom (5-10mg/kg) i podvrgnuti kratkom kirurškom postupku prvi i treći dan pokusa. Na vrhu glave ošiša se dlaka i napravi rez kože i potkožnog tkiva. Pomoću električne bušilice (NSK Ultimate XL, Hoffman Estates, IL, SAD) napravi se otvor </w:t>
      </w:r>
      <w:r w:rsidR="009A0490" w:rsidRPr="00D46669">
        <w:rPr>
          <w:rFonts w:ascii="Arial" w:hAnsi="Arial" w:cs="Arial"/>
          <w:sz w:val="20"/>
          <w:szCs w:val="20"/>
        </w:rPr>
        <w:t>promjera 1mm u parijetalnoj kosti s lijeve i desne strane, na udaljenosti 1,5-</w:t>
      </w:r>
      <w:smartTag w:uri="urn:schemas-microsoft-com:office:smarttags" w:element="metricconverter">
        <w:smartTagPr>
          <w:attr w:name="ProductID" w:val="2 mm"/>
        </w:smartTagPr>
        <w:r w:rsidR="009A0490" w:rsidRPr="00D46669">
          <w:rPr>
            <w:rFonts w:ascii="Arial" w:hAnsi="Arial" w:cs="Arial"/>
            <w:sz w:val="20"/>
            <w:szCs w:val="20"/>
          </w:rPr>
          <w:t>2 mm</w:t>
        </w:r>
      </w:smartTag>
      <w:r w:rsidR="009A0490" w:rsidRPr="00D46669">
        <w:rPr>
          <w:rFonts w:ascii="Arial" w:hAnsi="Arial" w:cs="Arial"/>
          <w:sz w:val="20"/>
          <w:szCs w:val="20"/>
        </w:rPr>
        <w:t xml:space="preserve"> dijagonalno od križanja sagitalnog i koronarnog šava prema ranije opisanom postupku </w:t>
      </w:r>
      <w:r w:rsidR="009A0490" w:rsidRPr="00D46669">
        <w:rPr>
          <w:rFonts w:ascii="Arial" w:hAnsi="Arial" w:cs="Arial"/>
          <w:sz w:val="20"/>
          <w:szCs w:val="20"/>
        </w:rPr>
        <w:fldChar w:fldCharType="begin" w:fldLock="1"/>
      </w:r>
      <w:r w:rsidR="009A0490" w:rsidRPr="00D46669">
        <w:rPr>
          <w:rFonts w:ascii="Arial" w:hAnsi="Arial" w:cs="Arial"/>
          <w:sz w:val="20"/>
          <w:szCs w:val="20"/>
        </w:rPr>
        <w:instrText>ADDIN CSL_CITATION { "citationItems" : [ { "id" : "ITEM-1", "itemData" : { "DOI" : "10.1016/0024-3205(67)90157-9", "ISSN" : "00243205", "abstract" : "A simple and direct method of labelling brain norepinephrine stores, via injection into the lateral ventricle is described. H3-norepinephrine introduced by this procedure was found to be distributed evenly in both sides of the brain. The accumulation of H3-norepinephrine in various brain regions parallels that of endogenous levels of norepinephrine and the amine is selectively localized in the \u201cnerve endings\u201d. The disappearance of H3-norepinephrine administered by the direct injection technique and its modification by drugs are similar to that of material introduced by stereotaxic procedures.", "author" : [ { "dropping-particle" : "", "family" : "Noble", "given" : "Ernest P.", "non-dropping-particle" : "", "parse-names" : false, "suffix" : "" }, { "dropping-particle" : "", "family" : "Wurtman", "given" : "Richard J.", "non-dropping-particle" : "", "parse-names" : false, "suffix" : "" }, { "dropping-particle" : "", "family" : "Axelrod", "given" : "Julius", "non-dropping-particle" : "", "parse-names" : false, "suffix" : "" } ], "container-title" : "Life Sciences", "id" : "ITEM-1", "issue" : "3", "issued" : { "date-parts" : [ [ "1967" ] ] }, "page" : "281-291", "publisher" : "Pergamon", "title" : "A simple and rapid method for injecting H3-norepinephrine into the lateral ventricle of the rat brain", "type" : "article-journal", "volume" : "6" }, "uris" : [ "http://www.mendeley.com/documents/?uuid=9f28e213-2904-3a73-9dfb-f6d6dcce8f66" ] } ], "mendeley" : { "formattedCitation" : "(Noble, Wurtman, &amp; Axelrod, 1967)", "plainTextFormattedCitation" : "(Noble, Wurtman, &amp; Axelrod, 1967)", "previouslyFormattedCitation" : "(Noble, Wurtman, &amp; Axelrod, 1967)" }, "properties" : {  }, "schema" : "https://github.com/citation-style-language/schema/raw/master/csl-citation.json" }</w:instrText>
      </w:r>
      <w:r w:rsidR="009A0490" w:rsidRPr="00D46669">
        <w:rPr>
          <w:rFonts w:ascii="Arial" w:hAnsi="Arial" w:cs="Arial"/>
          <w:sz w:val="20"/>
          <w:szCs w:val="20"/>
        </w:rPr>
        <w:fldChar w:fldCharType="separate"/>
      </w:r>
      <w:r w:rsidR="009A0490" w:rsidRPr="00D46669">
        <w:rPr>
          <w:rFonts w:ascii="Arial" w:hAnsi="Arial" w:cs="Arial"/>
          <w:noProof/>
          <w:sz w:val="20"/>
          <w:szCs w:val="20"/>
        </w:rPr>
        <w:t>(Noble</w:t>
      </w:r>
      <w:r w:rsidRPr="00D46669">
        <w:rPr>
          <w:rFonts w:ascii="Arial" w:hAnsi="Arial" w:cs="Arial"/>
          <w:noProof/>
          <w:sz w:val="20"/>
          <w:szCs w:val="20"/>
        </w:rPr>
        <w:t xml:space="preserve"> i sur.</w:t>
      </w:r>
      <w:r w:rsidR="009A0490" w:rsidRPr="00D46669">
        <w:rPr>
          <w:rFonts w:ascii="Arial" w:hAnsi="Arial" w:cs="Arial"/>
          <w:noProof/>
          <w:sz w:val="20"/>
          <w:szCs w:val="20"/>
        </w:rPr>
        <w:t>, 1967)</w:t>
      </w:r>
      <w:r w:rsidR="009A0490" w:rsidRPr="00D46669">
        <w:rPr>
          <w:rFonts w:ascii="Arial" w:hAnsi="Arial" w:cs="Arial"/>
          <w:sz w:val="20"/>
          <w:szCs w:val="20"/>
        </w:rPr>
        <w:fldChar w:fldCharType="end"/>
      </w:r>
      <w:r w:rsidRPr="00D46669">
        <w:rPr>
          <w:rFonts w:ascii="Arial" w:hAnsi="Arial" w:cs="Arial"/>
          <w:sz w:val="20"/>
          <w:szCs w:val="20"/>
        </w:rPr>
        <w:t>. Tanka mikroinjekciona igla</w:t>
      </w:r>
      <w:r w:rsidR="009A0490" w:rsidRPr="00D46669">
        <w:rPr>
          <w:rFonts w:ascii="Arial" w:hAnsi="Arial" w:cs="Arial"/>
          <w:sz w:val="20"/>
          <w:szCs w:val="20"/>
        </w:rPr>
        <w:t xml:space="preserve"> uvodi se na dubinu od 4 mm. Nakon što je igla postavljena u lijevu i desnu moždanu komoru</w:t>
      </w:r>
      <w:r w:rsidR="009A0490" w:rsidRPr="00062C6A">
        <w:rPr>
          <w:rFonts w:ascii="Arial" w:hAnsi="Arial" w:cs="Arial"/>
          <w:sz w:val="20"/>
          <w:szCs w:val="20"/>
        </w:rPr>
        <w:t xml:space="preserve"> polako se daje STZ otopljen u 0,05 M citratnom puferu (pH 4,5) u dozi od 3</w:t>
      </w:r>
      <w:r>
        <w:rPr>
          <w:rFonts w:ascii="Arial" w:hAnsi="Arial" w:cs="Arial"/>
          <w:sz w:val="20"/>
          <w:szCs w:val="20"/>
        </w:rPr>
        <w:t xml:space="preserve"> </w:t>
      </w:r>
      <w:r w:rsidR="009A0490" w:rsidRPr="00062C6A">
        <w:rPr>
          <w:rFonts w:ascii="Arial" w:hAnsi="Arial" w:cs="Arial"/>
          <w:sz w:val="20"/>
          <w:szCs w:val="20"/>
        </w:rPr>
        <w:t xml:space="preserve">mg/kg u </w:t>
      </w:r>
      <w:r>
        <w:rPr>
          <w:rFonts w:ascii="Arial" w:hAnsi="Arial" w:cs="Arial"/>
          <w:sz w:val="20"/>
          <w:szCs w:val="20"/>
        </w:rPr>
        <w:t xml:space="preserve">ukupnom </w:t>
      </w:r>
      <w:r w:rsidR="009A0490" w:rsidRPr="00062C6A">
        <w:rPr>
          <w:rFonts w:ascii="Arial" w:hAnsi="Arial" w:cs="Arial"/>
          <w:sz w:val="20"/>
          <w:szCs w:val="20"/>
        </w:rPr>
        <w:t>volumenu</w:t>
      </w:r>
      <w:r>
        <w:rPr>
          <w:rFonts w:ascii="Arial" w:hAnsi="Arial" w:cs="Arial"/>
          <w:sz w:val="20"/>
          <w:szCs w:val="20"/>
        </w:rPr>
        <w:t xml:space="preserve"> od  </w:t>
      </w:r>
      <w:r w:rsidR="009A0490" w:rsidRPr="00062C6A">
        <w:rPr>
          <w:rFonts w:ascii="Arial" w:hAnsi="Arial" w:cs="Arial"/>
          <w:sz w:val="20"/>
          <w:szCs w:val="20"/>
        </w:rPr>
        <w:t xml:space="preserve">4 </w:t>
      </w:r>
      <w:r>
        <w:rPr>
          <w:rFonts w:ascii="Arial" w:hAnsi="Arial" w:cs="Arial"/>
          <w:sz w:val="20"/>
          <w:szCs w:val="20"/>
        </w:rPr>
        <w:t>µL</w:t>
      </w:r>
      <w:r w:rsidR="009A0490" w:rsidRPr="00062C6A">
        <w:rPr>
          <w:rFonts w:ascii="Arial" w:hAnsi="Arial" w:cs="Arial"/>
          <w:sz w:val="20"/>
          <w:szCs w:val="20"/>
        </w:rPr>
        <w:t>. Kontrolnoj skupini životinja na isti se način u općoj aneste</w:t>
      </w:r>
      <w:bookmarkStart w:id="7" w:name="_Toc386475783"/>
      <w:r w:rsidR="006143D1">
        <w:rPr>
          <w:rFonts w:ascii="Arial" w:hAnsi="Arial" w:cs="Arial"/>
          <w:sz w:val="20"/>
          <w:szCs w:val="20"/>
        </w:rPr>
        <w:t>ziji administrira samo otapalo.</w:t>
      </w:r>
    </w:p>
    <w:p w14:paraId="6D91F4B6" w14:textId="1E460989" w:rsidR="006143D1" w:rsidRDefault="006143D1" w:rsidP="00062C6A">
      <w:pPr>
        <w:tabs>
          <w:tab w:val="left" w:pos="993"/>
        </w:tabs>
        <w:spacing w:line="360" w:lineRule="auto"/>
        <w:jc w:val="both"/>
        <w:outlineLvl w:val="1"/>
        <w:rPr>
          <w:rFonts w:ascii="Arial" w:hAnsi="Arial" w:cs="Arial"/>
          <w:sz w:val="20"/>
          <w:szCs w:val="20"/>
        </w:rPr>
      </w:pPr>
    </w:p>
    <w:p w14:paraId="7FE8803E" w14:textId="6EB81A56" w:rsidR="006143D1" w:rsidRDefault="006143D1" w:rsidP="00062C6A">
      <w:pPr>
        <w:tabs>
          <w:tab w:val="left" w:pos="993"/>
        </w:tabs>
        <w:spacing w:line="360" w:lineRule="auto"/>
        <w:jc w:val="both"/>
        <w:outlineLvl w:val="1"/>
        <w:rPr>
          <w:rFonts w:ascii="Arial" w:hAnsi="Arial" w:cs="Arial"/>
          <w:sz w:val="20"/>
          <w:szCs w:val="20"/>
        </w:rPr>
      </w:pPr>
    </w:p>
    <w:p w14:paraId="27D755BF" w14:textId="77777777" w:rsidR="006143D1" w:rsidRDefault="006143D1" w:rsidP="00062C6A">
      <w:pPr>
        <w:tabs>
          <w:tab w:val="left" w:pos="993"/>
        </w:tabs>
        <w:spacing w:line="360" w:lineRule="auto"/>
        <w:jc w:val="both"/>
        <w:outlineLvl w:val="1"/>
        <w:rPr>
          <w:rFonts w:ascii="Arial" w:hAnsi="Arial" w:cs="Arial"/>
          <w:sz w:val="20"/>
          <w:szCs w:val="20"/>
        </w:rPr>
      </w:pPr>
    </w:p>
    <w:p w14:paraId="167E96C6" w14:textId="457813C3" w:rsidR="00062C6A" w:rsidRPr="00062C6A" w:rsidRDefault="00062C6A" w:rsidP="00062C6A">
      <w:pPr>
        <w:pStyle w:val="ListParagraph"/>
        <w:numPr>
          <w:ilvl w:val="2"/>
          <w:numId w:val="8"/>
        </w:numPr>
        <w:tabs>
          <w:tab w:val="left" w:pos="993"/>
        </w:tabs>
        <w:spacing w:line="360" w:lineRule="auto"/>
        <w:jc w:val="both"/>
        <w:outlineLvl w:val="1"/>
        <w:rPr>
          <w:rFonts w:ascii="Arial" w:hAnsi="Arial" w:cs="Arial"/>
        </w:rPr>
      </w:pPr>
      <w:r w:rsidRPr="00062C6A">
        <w:rPr>
          <w:rFonts w:ascii="Arial" w:hAnsi="Arial" w:cs="Arial"/>
        </w:rPr>
        <w:lastRenderedPageBreak/>
        <w:t>Protokol eksperimenta za evaluaciju akutnog učinka STZ</w:t>
      </w:r>
    </w:p>
    <w:p w14:paraId="7C977C72" w14:textId="6CAFE50C" w:rsidR="00062C6A" w:rsidRDefault="009A0490" w:rsidP="00475F61">
      <w:pPr>
        <w:pStyle w:val="Heading3"/>
        <w:jc w:val="both"/>
        <w:rPr>
          <w:rFonts w:ascii="Arial" w:hAnsi="Arial" w:cs="Arial"/>
          <w:color w:val="auto"/>
          <w:sz w:val="20"/>
          <w:szCs w:val="20"/>
        </w:rPr>
      </w:pPr>
      <w:r w:rsidRPr="00062C6A">
        <w:rPr>
          <w:rFonts w:ascii="Arial" w:hAnsi="Arial" w:cs="Arial"/>
          <w:color w:val="auto"/>
          <w:sz w:val="20"/>
          <w:szCs w:val="20"/>
        </w:rPr>
        <w:br/>
      </w:r>
      <w:bookmarkEnd w:id="7"/>
      <w:r>
        <w:rPr>
          <w:rFonts w:ascii="Times New Roman" w:hAnsi="Times New Roman" w:cs="Times New Roman"/>
          <w:i/>
          <w:color w:val="auto"/>
          <w:sz w:val="28"/>
          <w:szCs w:val="28"/>
        </w:rPr>
        <w:br/>
      </w:r>
      <w:r w:rsidR="00475F61">
        <w:rPr>
          <w:rFonts w:ascii="Times New Roman" w:hAnsi="Times New Roman" w:cs="Times New Roman"/>
          <w:i/>
          <w:noProof/>
          <w:color w:val="auto"/>
          <w:sz w:val="28"/>
          <w:szCs w:val="28"/>
          <w:lang w:val="en-GB" w:eastAsia="en-GB"/>
        </w:rPr>
        <w:t xml:space="preserve">                                </w:t>
      </w:r>
      <w:r w:rsidR="00062C6A">
        <w:rPr>
          <w:rFonts w:ascii="Times New Roman" w:hAnsi="Times New Roman" w:cs="Times New Roman"/>
          <w:i/>
          <w:noProof/>
          <w:color w:val="auto"/>
          <w:sz w:val="28"/>
          <w:szCs w:val="28"/>
          <w:lang w:val="en-GB" w:eastAsia="en-GB"/>
        </w:rPr>
        <w:t xml:space="preserve"> </w:t>
      </w:r>
      <w:r>
        <w:rPr>
          <w:rFonts w:ascii="Times New Roman" w:hAnsi="Times New Roman" w:cs="Times New Roman"/>
          <w:i/>
          <w:noProof/>
          <w:color w:val="auto"/>
          <w:sz w:val="28"/>
          <w:szCs w:val="28"/>
          <w:lang w:val="en-GB" w:eastAsia="en-GB"/>
        </w:rPr>
        <w:drawing>
          <wp:inline distT="0" distB="0" distL="0" distR="0" wp14:anchorId="740B891F" wp14:editId="79986298">
            <wp:extent cx="2797810" cy="188658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7810" cy="1886585"/>
                    </a:xfrm>
                    <a:prstGeom prst="rect">
                      <a:avLst/>
                    </a:prstGeom>
                    <a:noFill/>
                    <a:ln>
                      <a:noFill/>
                    </a:ln>
                  </pic:spPr>
                </pic:pic>
              </a:graphicData>
            </a:graphic>
          </wp:inline>
        </w:drawing>
      </w:r>
      <w:r>
        <w:rPr>
          <w:rFonts w:ascii="Times New Roman" w:hAnsi="Times New Roman" w:cs="Times New Roman"/>
          <w:i/>
          <w:color w:val="auto"/>
          <w:sz w:val="28"/>
          <w:szCs w:val="28"/>
        </w:rPr>
        <w:br/>
      </w:r>
      <w:r w:rsidRPr="00062C6A">
        <w:rPr>
          <w:rFonts w:ascii="Arial" w:hAnsi="Arial" w:cs="Arial"/>
          <w:color w:val="auto"/>
          <w:sz w:val="20"/>
          <w:szCs w:val="20"/>
        </w:rPr>
        <w:t>Slika 1. Prot</w:t>
      </w:r>
      <w:r w:rsidR="00062C6A">
        <w:rPr>
          <w:rFonts w:ascii="Arial" w:hAnsi="Arial" w:cs="Arial"/>
          <w:color w:val="auto"/>
          <w:sz w:val="20"/>
          <w:szCs w:val="20"/>
        </w:rPr>
        <w:t>o</w:t>
      </w:r>
      <w:r w:rsidRPr="00062C6A">
        <w:rPr>
          <w:rFonts w:ascii="Arial" w:hAnsi="Arial" w:cs="Arial"/>
          <w:color w:val="auto"/>
          <w:sz w:val="20"/>
          <w:szCs w:val="20"/>
        </w:rPr>
        <w:t>kol eksperimenta za evaluaciju akutnog učinka STZ-icv na DMNX. Prvi dan eksperimenta muškim Wistar štakorima intracerebroventrikularno je apliciran STZ (STZ;N=6) ili otapalo (CTR;N=6). Isti je postupak ponovljen treći dan eksperimenta, a sat vremena nakon administracije STZ životinje su žrtvovane u dubokoj anesteziji, a tkivo ekstrahirano i pripremljno za homogenizaciju (N=5 po grupi) ili imunohistokemijsku analizu (N=1 po grupi).</w:t>
      </w:r>
    </w:p>
    <w:p w14:paraId="19871DE7" w14:textId="77777777" w:rsidR="00062C6A" w:rsidRDefault="00062C6A" w:rsidP="00062C6A">
      <w:pPr>
        <w:pStyle w:val="Heading3"/>
        <w:rPr>
          <w:rFonts w:ascii="Arial" w:hAnsi="Arial" w:cs="Arial"/>
          <w:color w:val="auto"/>
          <w:sz w:val="20"/>
          <w:szCs w:val="20"/>
        </w:rPr>
      </w:pPr>
    </w:p>
    <w:p w14:paraId="31782151" w14:textId="77777777" w:rsidR="00AB0568" w:rsidRPr="00AB0568" w:rsidRDefault="00062C6A" w:rsidP="00AB0568">
      <w:pPr>
        <w:pStyle w:val="Heading3"/>
        <w:numPr>
          <w:ilvl w:val="2"/>
          <w:numId w:val="8"/>
        </w:numPr>
      </w:pPr>
      <w:r w:rsidRPr="00062C6A">
        <w:rPr>
          <w:rFonts w:ascii="Arial" w:hAnsi="Arial" w:cs="Arial"/>
          <w:color w:val="auto"/>
        </w:rPr>
        <w:t>Protokol eksperimenta za evaluaciju kroničnog učinka STZ i akutnog učinka peroralne i intraperitonealne administracije D-galaktoze</w:t>
      </w:r>
    </w:p>
    <w:p w14:paraId="0CA3DD4D" w14:textId="68A2E2BC" w:rsidR="009A0490" w:rsidRDefault="009A0490" w:rsidP="00475F61">
      <w:pPr>
        <w:pStyle w:val="Heading3"/>
        <w:jc w:val="center"/>
      </w:pPr>
      <w:r w:rsidRPr="00062C6A">
        <w:rPr>
          <w:rFonts w:ascii="Arial" w:hAnsi="Arial" w:cs="Arial"/>
          <w:color w:val="auto"/>
        </w:rPr>
        <w:br/>
      </w:r>
      <w:r>
        <w:rPr>
          <w:rFonts w:ascii="Times New Roman" w:hAnsi="Times New Roman" w:cs="Times New Roman"/>
          <w:i/>
          <w:color w:val="auto"/>
          <w:sz w:val="28"/>
          <w:szCs w:val="28"/>
        </w:rPr>
        <w:br/>
      </w:r>
      <w:r>
        <w:rPr>
          <w:noProof/>
          <w:lang w:val="en-GB" w:eastAsia="en-GB"/>
        </w:rPr>
        <w:drawing>
          <wp:inline distT="0" distB="0" distL="0" distR="0" wp14:anchorId="0580FA71" wp14:editId="401476B3">
            <wp:extent cx="3295650" cy="189309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05457" cy="1898724"/>
                    </a:xfrm>
                    <a:prstGeom prst="rect">
                      <a:avLst/>
                    </a:prstGeom>
                    <a:noFill/>
                    <a:ln>
                      <a:noFill/>
                    </a:ln>
                  </pic:spPr>
                </pic:pic>
              </a:graphicData>
            </a:graphic>
          </wp:inline>
        </w:drawing>
      </w:r>
    </w:p>
    <w:p w14:paraId="67FEEFD8" w14:textId="3A442190" w:rsidR="00AB0568" w:rsidRDefault="009A0490" w:rsidP="00A03850">
      <w:pPr>
        <w:spacing w:line="240" w:lineRule="auto"/>
        <w:jc w:val="both"/>
        <w:rPr>
          <w:rFonts w:ascii="Arial" w:hAnsi="Arial" w:cs="Arial"/>
          <w:sz w:val="20"/>
          <w:szCs w:val="20"/>
        </w:rPr>
      </w:pPr>
      <w:r w:rsidRPr="00AB0568">
        <w:rPr>
          <w:rFonts w:ascii="Arial" w:hAnsi="Arial" w:cs="Arial"/>
          <w:sz w:val="20"/>
          <w:szCs w:val="20"/>
          <w:lang w:eastAsia="hr-HR"/>
        </w:rPr>
        <w:t xml:space="preserve">Slika 2. </w:t>
      </w:r>
      <w:r w:rsidR="00AB0568">
        <w:rPr>
          <w:rFonts w:ascii="Arial" w:hAnsi="Arial" w:cs="Arial"/>
          <w:sz w:val="20"/>
          <w:szCs w:val="20"/>
        </w:rPr>
        <w:t>Pro</w:t>
      </w:r>
      <w:r w:rsidRPr="00AB0568">
        <w:rPr>
          <w:rFonts w:ascii="Arial" w:hAnsi="Arial" w:cs="Arial"/>
          <w:sz w:val="20"/>
          <w:szCs w:val="20"/>
        </w:rPr>
        <w:t>t</w:t>
      </w:r>
      <w:r w:rsidR="00AB0568">
        <w:rPr>
          <w:rFonts w:ascii="Arial" w:hAnsi="Arial" w:cs="Arial"/>
          <w:sz w:val="20"/>
          <w:szCs w:val="20"/>
        </w:rPr>
        <w:t>o</w:t>
      </w:r>
      <w:r w:rsidRPr="00AB0568">
        <w:rPr>
          <w:rFonts w:ascii="Arial" w:hAnsi="Arial" w:cs="Arial"/>
          <w:sz w:val="20"/>
          <w:szCs w:val="20"/>
        </w:rPr>
        <w:t>kol eksperimenta za evaluaciju subakutnog učinka STZ-icv i akutnog učinka peroralne i intraperitonealne administracije D-galaktoze. Prvi i treći dan eksperimenta muškim Wistar štakorima intracerebroventrikularno je apliciran STZ (STZ) ili otapalo (CTR). Nakon 4 tjedna svaka je grupa (CTR i STZ) podijeljena u 3 podgrupe od kojih jedna nije dobila nikakav tretman (CTR i STZ), druga je grupa primila 200mg/kg D-galaktoze peroralno putem orogastrične sonde (CTR+PO i STZ+PO), a treća je grupa primila 200mg/kg D-galaktoze intraperitonealno (CTR+IP i STZ+IP). 15 minuta nakon administracije galaktoze životinje su žrtvovane u dubokoj anesteziji, tkivo ekstrahirano i pripremljeno za homogenizaciju (N=6 po grupi ) ili imunohistokemijsku analizu (N=4 po grupi).</w:t>
      </w:r>
    </w:p>
    <w:p w14:paraId="62C860F6" w14:textId="77777777" w:rsidR="00AB0568" w:rsidRDefault="00AB0568" w:rsidP="00AB0568">
      <w:pPr>
        <w:spacing w:line="240" w:lineRule="auto"/>
        <w:jc w:val="center"/>
        <w:rPr>
          <w:rFonts w:ascii="Arial" w:hAnsi="Arial" w:cs="Arial"/>
          <w:sz w:val="20"/>
          <w:szCs w:val="20"/>
        </w:rPr>
      </w:pPr>
    </w:p>
    <w:p w14:paraId="23503A21" w14:textId="6B113B0B" w:rsidR="00AB0568" w:rsidRPr="00AB0568" w:rsidRDefault="00AB0568" w:rsidP="00AB0568">
      <w:pPr>
        <w:pStyle w:val="Heading3"/>
        <w:numPr>
          <w:ilvl w:val="2"/>
          <w:numId w:val="8"/>
        </w:numPr>
      </w:pPr>
      <w:bookmarkStart w:id="8" w:name="_Toc386475784"/>
      <w:r w:rsidRPr="00062C6A">
        <w:rPr>
          <w:rFonts w:ascii="Arial" w:hAnsi="Arial" w:cs="Arial"/>
          <w:color w:val="auto"/>
        </w:rPr>
        <w:t xml:space="preserve">Protokol </w:t>
      </w:r>
      <w:r>
        <w:rPr>
          <w:rFonts w:ascii="Arial" w:hAnsi="Arial" w:cs="Arial"/>
          <w:color w:val="auto"/>
        </w:rPr>
        <w:t>žrtvovanja i uzimanja biološkog materijala</w:t>
      </w:r>
    </w:p>
    <w:bookmarkEnd w:id="8"/>
    <w:p w14:paraId="0F1306F7" w14:textId="77777777" w:rsidR="00AB0568" w:rsidRDefault="00AB0568" w:rsidP="009A0490">
      <w:pPr>
        <w:spacing w:line="360" w:lineRule="auto"/>
        <w:ind w:firstLine="720"/>
        <w:jc w:val="both"/>
        <w:rPr>
          <w:rFonts w:ascii="Arial" w:hAnsi="Arial" w:cs="Arial"/>
          <w:sz w:val="20"/>
          <w:szCs w:val="20"/>
        </w:rPr>
      </w:pPr>
    </w:p>
    <w:p w14:paraId="7A2F2F0D" w14:textId="4A923AE0" w:rsidR="009A0490" w:rsidRDefault="009A0490" w:rsidP="00627A8A">
      <w:pPr>
        <w:spacing w:line="360" w:lineRule="auto"/>
        <w:jc w:val="both"/>
        <w:rPr>
          <w:rFonts w:ascii="Arial" w:hAnsi="Arial" w:cs="Arial"/>
          <w:sz w:val="20"/>
          <w:szCs w:val="20"/>
        </w:rPr>
      </w:pPr>
      <w:r w:rsidRPr="00C322F5">
        <w:rPr>
          <w:rFonts w:ascii="Arial" w:hAnsi="Arial" w:cs="Arial"/>
          <w:sz w:val="20"/>
          <w:szCs w:val="20"/>
        </w:rPr>
        <w:t>U svim pokusima životinje su žrtvovane u dubokoj a</w:t>
      </w:r>
      <w:r>
        <w:rPr>
          <w:rFonts w:ascii="Arial" w:hAnsi="Arial" w:cs="Arial"/>
          <w:sz w:val="20"/>
          <w:szCs w:val="20"/>
        </w:rPr>
        <w:t xml:space="preserve">nesteziji (tiopental 60 mg/kg, </w:t>
      </w:r>
      <w:r w:rsidRPr="00C322F5">
        <w:rPr>
          <w:rFonts w:ascii="Arial" w:hAnsi="Arial" w:cs="Arial"/>
          <w:sz w:val="20"/>
          <w:szCs w:val="20"/>
        </w:rPr>
        <w:t>diazepam 6 mg/kg). Iz svake skupine</w:t>
      </w:r>
      <w:r w:rsidR="003B779D">
        <w:rPr>
          <w:rFonts w:ascii="Arial" w:hAnsi="Arial" w:cs="Arial"/>
          <w:sz w:val="20"/>
          <w:szCs w:val="20"/>
        </w:rPr>
        <w:t>,</w:t>
      </w:r>
      <w:r w:rsidRPr="00C322F5">
        <w:rPr>
          <w:rFonts w:ascii="Arial" w:hAnsi="Arial" w:cs="Arial"/>
          <w:sz w:val="20"/>
          <w:szCs w:val="20"/>
        </w:rPr>
        <w:t xml:space="preserve"> životinje čije je tkivo predviđeno za western blot analizu i eseje oksidativnog stresa dekapitirane su, nakon čega je tkivo izvađeno, zamrznuto u tekućem dušiku i pohranjeno na -80</w:t>
      </w:r>
      <w:r w:rsidRPr="00C322F5">
        <w:rPr>
          <w:rFonts w:ascii="Arial" w:hAnsi="Arial" w:cs="Arial"/>
          <w:sz w:val="20"/>
          <w:szCs w:val="20"/>
          <w:vertAlign w:val="superscript"/>
        </w:rPr>
        <w:t>o</w:t>
      </w:r>
      <w:r w:rsidRPr="00C322F5">
        <w:rPr>
          <w:rFonts w:ascii="Arial" w:hAnsi="Arial" w:cs="Arial"/>
          <w:sz w:val="20"/>
          <w:szCs w:val="20"/>
        </w:rPr>
        <w:t xml:space="preserve">C. </w:t>
      </w:r>
      <w:r w:rsidRPr="00C322F5">
        <w:rPr>
          <w:rFonts w:ascii="Arial" w:hAnsi="Arial" w:cs="Arial"/>
          <w:sz w:val="20"/>
          <w:szCs w:val="20"/>
        </w:rPr>
        <w:lastRenderedPageBreak/>
        <w:t xml:space="preserve">Preostale životinje u dubokoj su anesteziji podvrgnute transkardijalnoj perfuziji </w:t>
      </w:r>
      <w:r w:rsidR="003B779D">
        <w:rPr>
          <w:rFonts w:ascii="Arial" w:hAnsi="Arial" w:cs="Arial"/>
          <w:sz w:val="20"/>
          <w:szCs w:val="20"/>
        </w:rPr>
        <w:t xml:space="preserve">s </w:t>
      </w:r>
      <w:r w:rsidRPr="00C322F5">
        <w:rPr>
          <w:rFonts w:ascii="Arial" w:hAnsi="Arial" w:cs="Arial"/>
          <w:sz w:val="20"/>
          <w:szCs w:val="20"/>
        </w:rPr>
        <w:t xml:space="preserve">4% paraformaldehidom </w:t>
      </w:r>
      <w:r w:rsidRPr="00D46669">
        <w:rPr>
          <w:rFonts w:ascii="Arial" w:hAnsi="Arial" w:cs="Arial"/>
          <w:sz w:val="20"/>
          <w:szCs w:val="20"/>
        </w:rPr>
        <w:t>(PFA)  otopljenim u fosfatnom puferu (2 g KCl; 11,3 g Na</w:t>
      </w:r>
      <w:r w:rsidRPr="00D46669">
        <w:rPr>
          <w:rFonts w:ascii="Arial" w:hAnsi="Arial" w:cs="Arial"/>
          <w:sz w:val="20"/>
          <w:szCs w:val="20"/>
          <w:vertAlign w:val="subscript"/>
        </w:rPr>
        <w:t>2</w:t>
      </w:r>
      <w:r w:rsidRPr="00D46669">
        <w:rPr>
          <w:rFonts w:ascii="Arial" w:hAnsi="Arial" w:cs="Arial"/>
          <w:sz w:val="20"/>
          <w:szCs w:val="20"/>
        </w:rPr>
        <w:t>HPO</w:t>
      </w:r>
      <w:r w:rsidRPr="00D46669">
        <w:rPr>
          <w:rFonts w:ascii="Arial" w:hAnsi="Arial" w:cs="Arial"/>
          <w:sz w:val="20"/>
          <w:szCs w:val="20"/>
          <w:vertAlign w:val="subscript"/>
        </w:rPr>
        <w:t>4</w:t>
      </w:r>
      <w:r w:rsidRPr="00D46669">
        <w:rPr>
          <w:rFonts w:ascii="Arial" w:hAnsi="Arial" w:cs="Arial"/>
          <w:sz w:val="20"/>
          <w:szCs w:val="20"/>
        </w:rPr>
        <w:t>; 90 g NaCl; 2 g KH</w:t>
      </w:r>
      <w:r w:rsidRPr="00D46669">
        <w:rPr>
          <w:rFonts w:ascii="Arial" w:hAnsi="Arial" w:cs="Arial"/>
          <w:sz w:val="20"/>
          <w:szCs w:val="20"/>
          <w:vertAlign w:val="subscript"/>
        </w:rPr>
        <w:t>2</w:t>
      </w:r>
      <w:r w:rsidRPr="00D46669">
        <w:rPr>
          <w:rFonts w:ascii="Arial" w:hAnsi="Arial" w:cs="Arial"/>
          <w:sz w:val="20"/>
          <w:szCs w:val="20"/>
        </w:rPr>
        <w:t>PO</w:t>
      </w:r>
      <w:r w:rsidRPr="00D46669">
        <w:rPr>
          <w:rFonts w:ascii="Arial" w:hAnsi="Arial" w:cs="Arial"/>
          <w:sz w:val="20"/>
          <w:szCs w:val="20"/>
          <w:vertAlign w:val="subscript"/>
        </w:rPr>
        <w:t>4</w:t>
      </w:r>
      <w:r w:rsidRPr="00D46669">
        <w:rPr>
          <w:rFonts w:ascii="Arial" w:hAnsi="Arial" w:cs="Arial"/>
          <w:sz w:val="20"/>
          <w:szCs w:val="20"/>
        </w:rPr>
        <w:t xml:space="preserve"> do   1 L dH</w:t>
      </w:r>
      <w:r w:rsidRPr="00D46669">
        <w:rPr>
          <w:rFonts w:ascii="Arial" w:hAnsi="Arial" w:cs="Arial"/>
          <w:sz w:val="20"/>
          <w:szCs w:val="20"/>
          <w:vertAlign w:val="subscript"/>
        </w:rPr>
        <w:t>2</w:t>
      </w:r>
      <w:r w:rsidRPr="00D46669">
        <w:rPr>
          <w:rFonts w:ascii="Arial" w:hAnsi="Arial" w:cs="Arial"/>
          <w:sz w:val="20"/>
          <w:szCs w:val="20"/>
        </w:rPr>
        <w:t>O). Nakon što je postignuta dovoljno duboka anestezija, oštrim se škarama napravi rez kroz kožu i mišiće toraksa u medijalnoj aksilarnoj liniji s lijeve i desne strane. Prerežu se dijafragma i lateralni dijelovi rebara, a igrla s fiziološkom otopinom  (0.9% NaCl) uvede se u lijevu srčani klijetku. Malim se rezom otvori desna pretklijetka, a fiziološka otopina pusti se kroz iglu za perfuziju. Nakon što koža i sluznice životinje poprime blijedu boju i fiziološka tekućina počne izlaziti kroz desnu pretklijetku, zaustavlja se tok fiziološke otopine i pušta se PFA. Nakon protoka 250mL PFA tijelo životinje otvrdne. Organi za histološku analizu izvade se i pohrane u 4% puferirani PFA.</w:t>
      </w:r>
    </w:p>
    <w:p w14:paraId="7C4C3239" w14:textId="3C3E5A68" w:rsidR="009A0490" w:rsidRDefault="003B779D" w:rsidP="003B779D">
      <w:pPr>
        <w:pStyle w:val="Heading3"/>
        <w:numPr>
          <w:ilvl w:val="2"/>
          <w:numId w:val="8"/>
        </w:numPr>
        <w:rPr>
          <w:rFonts w:ascii="Arial" w:hAnsi="Arial" w:cs="Arial"/>
          <w:color w:val="auto"/>
        </w:rPr>
      </w:pPr>
      <w:bookmarkStart w:id="9" w:name="_Toc386475785"/>
      <w:r>
        <w:rPr>
          <w:rFonts w:ascii="Arial" w:hAnsi="Arial" w:cs="Arial"/>
          <w:color w:val="auto"/>
        </w:rPr>
        <w:t xml:space="preserve">Homogeniziranje tkiva </w:t>
      </w:r>
      <w:bookmarkEnd w:id="9"/>
    </w:p>
    <w:p w14:paraId="52EB01F5" w14:textId="77777777" w:rsidR="003B779D" w:rsidRDefault="003B779D" w:rsidP="009A0490">
      <w:pPr>
        <w:pStyle w:val="Citat1"/>
        <w:spacing w:line="360" w:lineRule="auto"/>
        <w:jc w:val="both"/>
        <w:rPr>
          <w:rFonts w:ascii="Arial" w:hAnsi="Arial" w:cs="Arial"/>
          <w:i w:val="0"/>
          <w:sz w:val="20"/>
          <w:szCs w:val="20"/>
        </w:rPr>
      </w:pPr>
    </w:p>
    <w:p w14:paraId="122FA687" w14:textId="52D29AF8" w:rsidR="009A0490" w:rsidRDefault="009A0490" w:rsidP="009A0490">
      <w:pPr>
        <w:pStyle w:val="Citat1"/>
        <w:spacing w:line="360" w:lineRule="auto"/>
        <w:jc w:val="both"/>
        <w:rPr>
          <w:rFonts w:ascii="Arial" w:hAnsi="Arial" w:cs="Arial"/>
          <w:i w:val="0"/>
          <w:color w:val="auto"/>
          <w:sz w:val="20"/>
          <w:szCs w:val="20"/>
        </w:rPr>
      </w:pPr>
      <w:r w:rsidRPr="00C322F5">
        <w:rPr>
          <w:rFonts w:ascii="Arial" w:hAnsi="Arial" w:cs="Arial"/>
          <w:i w:val="0"/>
          <w:color w:val="auto"/>
          <w:sz w:val="20"/>
          <w:szCs w:val="20"/>
        </w:rPr>
        <w:t>Za izolaciju proteina, moždano deblo štakora stavili smo u 500 μL otopine pufera za lizu stanica (1 M trisa pH 8,0; 1 M NaCl; 0,005 M EDTA; 1 M DTT; 0,01 M natrij vanadata) i proteaza inhibitora (1:100) na ledu nakon čega je tkivo homogenizirano pomoću sonikatora (Microson Ultrasonic Cell Disruptor XL, Manassas</w:t>
      </w:r>
      <w:r w:rsidRPr="00C322F5">
        <w:rPr>
          <w:rFonts w:ascii="Arial" w:hAnsi="Arial" w:cs="Arial"/>
          <w:color w:val="auto"/>
          <w:sz w:val="20"/>
          <w:szCs w:val="20"/>
          <w:shd w:val="clear" w:color="auto" w:fill="FFFFFF"/>
        </w:rPr>
        <w:t xml:space="preserve">, </w:t>
      </w:r>
      <w:r w:rsidRPr="00C322F5">
        <w:rPr>
          <w:rFonts w:ascii="Arial" w:hAnsi="Arial" w:cs="Arial"/>
          <w:i w:val="0"/>
          <w:color w:val="auto"/>
          <w:sz w:val="20"/>
          <w:szCs w:val="20"/>
          <w:shd w:val="clear" w:color="auto" w:fill="FFFFFF"/>
        </w:rPr>
        <w:t>VA, SAD</w:t>
      </w:r>
      <w:r w:rsidRPr="00C322F5">
        <w:rPr>
          <w:rFonts w:ascii="Arial" w:hAnsi="Arial" w:cs="Arial"/>
          <w:i w:val="0"/>
          <w:color w:val="auto"/>
          <w:sz w:val="20"/>
          <w:szCs w:val="20"/>
        </w:rPr>
        <w:t>). Homogenat je centrifugiran 10 minuta na 12 500 g i 4 °C (Biofuge frescko heraeu, Hanau, Njemačka), a dobiveni supernatant alikvotiran u triplikatu i pohranjen na -80 ºC do daljnje upotrebe.</w:t>
      </w:r>
    </w:p>
    <w:p w14:paraId="363393AF" w14:textId="5255229B" w:rsidR="003B779D" w:rsidRDefault="003B779D" w:rsidP="003B779D">
      <w:pPr>
        <w:pStyle w:val="Heading3"/>
        <w:numPr>
          <w:ilvl w:val="2"/>
          <w:numId w:val="8"/>
        </w:numPr>
        <w:rPr>
          <w:rFonts w:ascii="Arial" w:hAnsi="Arial" w:cs="Arial"/>
          <w:color w:val="auto"/>
        </w:rPr>
      </w:pPr>
      <w:bookmarkStart w:id="10" w:name="_Toc386475786"/>
      <w:r>
        <w:rPr>
          <w:rFonts w:ascii="Arial" w:hAnsi="Arial" w:cs="Arial"/>
          <w:color w:val="auto"/>
        </w:rPr>
        <w:t>Mjerenje koncentracije proteina</w:t>
      </w:r>
    </w:p>
    <w:bookmarkEnd w:id="10"/>
    <w:p w14:paraId="27E411AE" w14:textId="254C1904" w:rsidR="009A0490" w:rsidRDefault="009A0490" w:rsidP="009A0490">
      <w:pPr>
        <w:spacing w:line="360" w:lineRule="auto"/>
        <w:ind w:firstLine="720"/>
        <w:jc w:val="both"/>
        <w:rPr>
          <w:rFonts w:ascii="Arial" w:hAnsi="Arial" w:cs="Arial"/>
          <w:sz w:val="20"/>
          <w:szCs w:val="20"/>
        </w:rPr>
      </w:pPr>
      <w:r>
        <w:rPr>
          <w:rFonts w:ascii="Arial" w:hAnsi="Arial" w:cs="Arial"/>
          <w:sz w:val="20"/>
          <w:szCs w:val="20"/>
        </w:rPr>
        <w:br/>
      </w:r>
      <w:r w:rsidRPr="00C0219F">
        <w:rPr>
          <w:rFonts w:ascii="Arial" w:hAnsi="Arial" w:cs="Arial"/>
          <w:sz w:val="20"/>
          <w:szCs w:val="20"/>
        </w:rPr>
        <w:t>Koncentraciju proteina u uzorcima ukupnog stanično</w:t>
      </w:r>
      <w:r>
        <w:rPr>
          <w:rFonts w:ascii="Arial" w:hAnsi="Arial" w:cs="Arial"/>
          <w:sz w:val="20"/>
          <w:szCs w:val="20"/>
        </w:rPr>
        <w:t>g lizata moždanog debla odredili smo</w:t>
      </w:r>
      <w:r w:rsidRPr="00C0219F">
        <w:rPr>
          <w:rFonts w:ascii="Arial" w:hAnsi="Arial" w:cs="Arial"/>
          <w:sz w:val="20"/>
          <w:szCs w:val="20"/>
        </w:rPr>
        <w:t xml:space="preserve"> metodom po </w:t>
      </w:r>
      <w:r w:rsidRPr="00D46669">
        <w:rPr>
          <w:rFonts w:ascii="Arial" w:hAnsi="Arial" w:cs="Arial"/>
          <w:sz w:val="20"/>
          <w:szCs w:val="20"/>
        </w:rPr>
        <w:t xml:space="preserve">Lowriju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"PMID" : "14907713", "author" : [ { "dropping-particle" : "", "family" : "Lowry", "given" : "O H", "non-dropping-particle" : "", "parse-names" : false, "suffix" : "" }, { "dropping-particle" : "", "family" : "Rosebrough", "given" : "N J", "non-dropping-particle" : "", "parse-names" : false, "suffix" : "" }, { "dropping-particle" : "", "family" : "Farr", "given" : "A L", "non-dropping-particle" : "", "parse-names" : false, "suffix" : "" }, { "dropping-particle" : "", "family" : "Randall", "given" : "R J", "non-dropping-particle" : "", "parse-names" : false, "suffix" : "" } ], "container-title" : "The Journal of biological chemistry", "id" : "ITEM-1", "issue" : "1", "issued" : { "date-parts" : [ [ "1951", "11" ] ] }, "page" : "265-75", "title" : "Protein measurement with the Folin phenol reagent.", "type" : "article-journal", "volume" : "193" }, "uris" : [ "http://www.mendeley.com/documents/?uuid=27c38217-6744-3d0c-9315-85693e1f1ce3" ] } ], "mendeley" : { "formattedCitation" : "(Lowry, Rosebrough, Farr, &amp; Randall, 1951)", "plainTextFormattedCitation" : "(Lowry, Rosebrough, Farr, &amp; Randall, 1951)", "previouslyFormattedCitation" : "(Lowry, Rosebrough, Farr, &amp; Randall, 1951)" }, "properties" : {  }, "schema" : "https://github.com/citation-style-language/schema/raw/master/csl-citation.json" }</w:instrText>
      </w:r>
      <w:r w:rsidRPr="00D46669">
        <w:rPr>
          <w:rFonts w:ascii="Arial" w:hAnsi="Arial" w:cs="Arial"/>
          <w:sz w:val="20"/>
          <w:szCs w:val="20"/>
        </w:rPr>
        <w:fldChar w:fldCharType="separate"/>
      </w:r>
      <w:r w:rsidRPr="00D46669">
        <w:rPr>
          <w:rFonts w:ascii="Arial" w:hAnsi="Arial" w:cs="Arial"/>
          <w:noProof/>
          <w:sz w:val="20"/>
          <w:szCs w:val="20"/>
        </w:rPr>
        <w:t>(Lowry</w:t>
      </w:r>
      <w:r w:rsidR="009D5F57" w:rsidRPr="00D46669">
        <w:rPr>
          <w:rFonts w:ascii="Arial" w:hAnsi="Arial" w:cs="Arial"/>
          <w:noProof/>
          <w:sz w:val="20"/>
          <w:szCs w:val="20"/>
        </w:rPr>
        <w:t xml:space="preserve"> i sur.</w:t>
      </w:r>
      <w:r w:rsidRPr="00D46669">
        <w:rPr>
          <w:rFonts w:ascii="Arial" w:hAnsi="Arial" w:cs="Arial"/>
          <w:noProof/>
          <w:sz w:val="20"/>
          <w:szCs w:val="20"/>
        </w:rPr>
        <w:t>, 1951)</w:t>
      </w:r>
      <w:r w:rsidRPr="00D46669">
        <w:rPr>
          <w:rFonts w:ascii="Arial" w:hAnsi="Arial" w:cs="Arial"/>
          <w:sz w:val="20"/>
          <w:szCs w:val="20"/>
        </w:rPr>
        <w:fldChar w:fldCharType="end"/>
      </w:r>
      <w:r w:rsidRPr="00D46669">
        <w:rPr>
          <w:rFonts w:ascii="Arial" w:hAnsi="Arial" w:cs="Arial"/>
          <w:sz w:val="20"/>
          <w:szCs w:val="20"/>
        </w:rPr>
        <w:t>. Pripremili smo uzorak dodavanjem 10 μL ukupnog staničnog lizata u 2 mL</w:t>
      </w:r>
      <w:r w:rsidRPr="00C0219F">
        <w:rPr>
          <w:rFonts w:ascii="Arial" w:hAnsi="Arial" w:cs="Arial"/>
          <w:sz w:val="20"/>
          <w:szCs w:val="20"/>
        </w:rPr>
        <w:t xml:space="preserve"> reagensa bakrova sulfata (49 mL otopine 2% Na</w:t>
      </w:r>
      <w:r w:rsidRPr="00C0219F">
        <w:rPr>
          <w:rFonts w:ascii="Arial" w:hAnsi="Arial" w:cs="Arial"/>
          <w:sz w:val="20"/>
          <w:szCs w:val="20"/>
          <w:vertAlign w:val="subscript"/>
        </w:rPr>
        <w:t>2</w:t>
      </w:r>
      <w:r w:rsidRPr="00C0219F">
        <w:rPr>
          <w:rFonts w:ascii="Arial" w:hAnsi="Arial" w:cs="Arial"/>
          <w:sz w:val="20"/>
          <w:szCs w:val="20"/>
        </w:rPr>
        <w:t>CO</w:t>
      </w:r>
      <w:r w:rsidRPr="00C0219F">
        <w:rPr>
          <w:rFonts w:ascii="Arial" w:hAnsi="Arial" w:cs="Arial"/>
          <w:sz w:val="20"/>
          <w:szCs w:val="20"/>
          <w:vertAlign w:val="subscript"/>
        </w:rPr>
        <w:t>3</w:t>
      </w:r>
      <w:r w:rsidRPr="00C0219F">
        <w:rPr>
          <w:rFonts w:ascii="Arial" w:hAnsi="Arial" w:cs="Arial"/>
          <w:sz w:val="20"/>
          <w:szCs w:val="20"/>
        </w:rPr>
        <w:t xml:space="preserve"> u 0,1 M NaOH i 1 mL otopine jednake količine 1% CuSO</w:t>
      </w:r>
      <w:r w:rsidRPr="00C0219F">
        <w:rPr>
          <w:rFonts w:ascii="Arial" w:hAnsi="Arial" w:cs="Arial"/>
          <w:sz w:val="20"/>
          <w:szCs w:val="20"/>
          <w:vertAlign w:val="subscript"/>
        </w:rPr>
        <w:t>4</w:t>
      </w:r>
      <w:r w:rsidRPr="00C0219F">
        <w:rPr>
          <w:rFonts w:ascii="Arial" w:hAnsi="Arial" w:cs="Arial"/>
          <w:sz w:val="20"/>
          <w:szCs w:val="20"/>
        </w:rPr>
        <w:t>·5H</w:t>
      </w:r>
      <w:r w:rsidRPr="00C0219F">
        <w:rPr>
          <w:rFonts w:ascii="Arial" w:hAnsi="Arial" w:cs="Arial"/>
          <w:sz w:val="20"/>
          <w:szCs w:val="20"/>
          <w:vertAlign w:val="subscript"/>
        </w:rPr>
        <w:t>2</w:t>
      </w:r>
      <w:r w:rsidRPr="00C0219F">
        <w:rPr>
          <w:rFonts w:ascii="Arial" w:hAnsi="Arial" w:cs="Arial"/>
          <w:sz w:val="20"/>
          <w:szCs w:val="20"/>
        </w:rPr>
        <w:t>O i 2% NaK tartarata) i ostavili 10 min. Dodali smo 0,2 mL folin reagensa (H</w:t>
      </w:r>
      <w:r w:rsidRPr="00C0219F">
        <w:rPr>
          <w:rFonts w:ascii="Arial" w:hAnsi="Arial" w:cs="Arial"/>
          <w:sz w:val="20"/>
          <w:szCs w:val="20"/>
          <w:vertAlign w:val="subscript"/>
        </w:rPr>
        <w:t>2</w:t>
      </w:r>
      <w:r w:rsidRPr="00C0219F">
        <w:rPr>
          <w:rFonts w:ascii="Arial" w:hAnsi="Arial" w:cs="Arial"/>
          <w:sz w:val="20"/>
          <w:szCs w:val="20"/>
        </w:rPr>
        <w:t xml:space="preserve">O i Folin-ciocalteu, 2:1) i uzorke ostavili 30 minuta. Nastalu plavu boju izmjerili smo spektrofotometrijskom analizom pri valnoj duljini od 750 nm (Iskra </w:t>
      </w:r>
      <w:r w:rsidRPr="00C0219F">
        <w:rPr>
          <w:rStyle w:val="apple-style-span"/>
          <w:rFonts w:ascii="Arial" w:hAnsi="Arial" w:cs="Arial"/>
          <w:sz w:val="20"/>
          <w:szCs w:val="20"/>
        </w:rPr>
        <w:t>HPV 220, Slovenija</w:t>
      </w:r>
      <w:r w:rsidRPr="00C0219F">
        <w:rPr>
          <w:rFonts w:ascii="Arial" w:hAnsi="Arial" w:cs="Arial"/>
          <w:sz w:val="20"/>
          <w:szCs w:val="20"/>
        </w:rPr>
        <w:t xml:space="preserve">). Koncentraciju proteina izračunali smo na temelju standardne otopine albumina goveđeg seruma  koncentracije 15mg/mL. Kao </w:t>
      </w:r>
      <w:r>
        <w:rPr>
          <w:rFonts w:ascii="Arial" w:hAnsi="Arial" w:cs="Arial"/>
          <w:sz w:val="20"/>
          <w:szCs w:val="20"/>
        </w:rPr>
        <w:t>slijepu probu u postupku koristili smo</w:t>
      </w:r>
      <w:r w:rsidRPr="00C0219F">
        <w:rPr>
          <w:rFonts w:ascii="Arial" w:hAnsi="Arial" w:cs="Arial"/>
          <w:sz w:val="20"/>
          <w:szCs w:val="20"/>
        </w:rPr>
        <w:t xml:space="preserve"> 10 µL 0,1 N HCl.</w:t>
      </w:r>
    </w:p>
    <w:p w14:paraId="1F1BDD62" w14:textId="7DEBB83F" w:rsidR="009D5F57" w:rsidRDefault="009D5F57" w:rsidP="009D5F57">
      <w:pPr>
        <w:pStyle w:val="Heading3"/>
        <w:numPr>
          <w:ilvl w:val="2"/>
          <w:numId w:val="8"/>
        </w:numPr>
        <w:rPr>
          <w:rFonts w:ascii="Arial" w:hAnsi="Arial" w:cs="Arial"/>
          <w:color w:val="auto"/>
        </w:rPr>
      </w:pPr>
      <w:r>
        <w:rPr>
          <w:rFonts w:ascii="Arial" w:hAnsi="Arial" w:cs="Arial"/>
          <w:color w:val="auto"/>
        </w:rPr>
        <w:t xml:space="preserve">Western blot analiza </w:t>
      </w:r>
    </w:p>
    <w:p w14:paraId="44252CE6" w14:textId="77777777" w:rsidR="009D5F57" w:rsidRDefault="009D5F57" w:rsidP="009D5F57">
      <w:pPr>
        <w:pStyle w:val="Heading3"/>
        <w:spacing w:line="360" w:lineRule="auto"/>
        <w:jc w:val="both"/>
        <w:rPr>
          <w:rFonts w:ascii="Arial" w:hAnsi="Arial" w:cs="Arial"/>
          <w:color w:val="auto"/>
          <w:sz w:val="20"/>
          <w:szCs w:val="20"/>
        </w:rPr>
      </w:pPr>
    </w:p>
    <w:p w14:paraId="69357DBA" w14:textId="77777777" w:rsidR="009D5F57" w:rsidRPr="006D0DF4" w:rsidRDefault="009D5F57" w:rsidP="009D5F57">
      <w:pPr>
        <w:pStyle w:val="Heading3"/>
        <w:spacing w:line="360" w:lineRule="auto"/>
        <w:jc w:val="both"/>
        <w:rPr>
          <w:rFonts w:ascii="Arial" w:hAnsi="Arial" w:cs="Arial"/>
          <w:i/>
          <w:color w:val="auto"/>
          <w:sz w:val="20"/>
          <w:szCs w:val="20"/>
        </w:rPr>
      </w:pPr>
      <w:r w:rsidRPr="006D0DF4">
        <w:rPr>
          <w:rFonts w:ascii="Arial" w:hAnsi="Arial" w:cs="Arial"/>
          <w:color w:val="auto"/>
          <w:sz w:val="20"/>
          <w:szCs w:val="20"/>
        </w:rPr>
        <w:t xml:space="preserve">Za analizu promjene fosforilacije pojedinih proteina koristili smo Western blot analizu. Ukratko, proteine smo razdvojili elektroforezom na poliakrilamidnom gelu gdje pod utjecajem napona proteini putuju ovisno o molekularnoj masi. Razdvojeni proteini prenose se na nitrocelulouznu membranu i vizualiziraju obilježavanjem pomoću primarnih i sekundarnih protutijela koja željeni proteini lokalizacijski sprežu s kemiluminiscentnom reakcijom koju je moguće detektirati kamerom. Promjenu fosforilacije proteina moguće je analizirati nakon određivanja omjera fosforiliranog i ukupnog proteina od interesa. </w:t>
      </w:r>
    </w:p>
    <w:p w14:paraId="0C331791" w14:textId="77777777" w:rsidR="009D5F57" w:rsidRPr="00C0219F" w:rsidRDefault="009D5F57" w:rsidP="009D5F57">
      <w:pPr>
        <w:spacing w:line="360" w:lineRule="auto"/>
        <w:jc w:val="both"/>
        <w:rPr>
          <w:rFonts w:ascii="Arial" w:hAnsi="Arial" w:cs="Arial"/>
          <w:sz w:val="20"/>
          <w:szCs w:val="20"/>
        </w:rPr>
      </w:pPr>
    </w:p>
    <w:p w14:paraId="39B67C0D" w14:textId="6B680D55" w:rsidR="009A0490" w:rsidRDefault="009A0490" w:rsidP="009D5F57">
      <w:pPr>
        <w:pStyle w:val="Heading3"/>
        <w:spacing w:line="360" w:lineRule="auto"/>
        <w:jc w:val="both"/>
        <w:rPr>
          <w:rFonts w:ascii="Arial" w:hAnsi="Arial" w:cs="Arial"/>
          <w:color w:val="auto"/>
          <w:sz w:val="20"/>
          <w:szCs w:val="20"/>
        </w:rPr>
      </w:pPr>
      <w:r w:rsidRPr="00F812E5">
        <w:rPr>
          <w:rFonts w:ascii="Arial" w:hAnsi="Arial" w:cs="Arial"/>
          <w:color w:val="auto"/>
          <w:sz w:val="20"/>
          <w:szCs w:val="20"/>
        </w:rPr>
        <w:lastRenderedPageBreak/>
        <w:t>Uzorci korišteni u Western blot analizi pripremljeni su uzimanjem jednake količine proteina i pufera za nanošenje na gel (</w:t>
      </w:r>
      <w:r w:rsidRPr="00F812E5">
        <w:rPr>
          <w:rFonts w:ascii="Arial" w:hAnsi="Arial" w:cs="Arial"/>
          <w:i/>
          <w:color w:val="auto"/>
          <w:sz w:val="20"/>
          <w:szCs w:val="20"/>
        </w:rPr>
        <w:t>sample</w:t>
      </w:r>
      <w:r w:rsidRPr="00F812E5">
        <w:rPr>
          <w:rFonts w:ascii="Arial" w:hAnsi="Arial" w:cs="Arial"/>
          <w:color w:val="auto"/>
          <w:sz w:val="20"/>
          <w:szCs w:val="20"/>
        </w:rPr>
        <w:t xml:space="preserve"> pufer [2 mL glicerola; 6 mL 10% SDS; 2,5 mL 1 M trisa pH 6,7; 2-4 mg bromfenol plavila] te 10% β-merkaptoetanola). Nakon pripreme uzorke kratko centrifugiramo kako bi svi bili denaturirani u jednakim uvjet</w:t>
      </w:r>
      <w:r w:rsidR="00F812E5" w:rsidRPr="00F812E5">
        <w:rPr>
          <w:rFonts w:ascii="Arial" w:hAnsi="Arial" w:cs="Arial"/>
          <w:color w:val="auto"/>
          <w:sz w:val="20"/>
          <w:szCs w:val="20"/>
        </w:rPr>
        <w:t>ima te kuhamo 10 min na 100 °C</w:t>
      </w:r>
      <w:r w:rsidRPr="00F812E5">
        <w:rPr>
          <w:rFonts w:ascii="Arial" w:hAnsi="Arial" w:cs="Arial"/>
          <w:color w:val="auto"/>
          <w:sz w:val="20"/>
          <w:szCs w:val="20"/>
        </w:rPr>
        <w:t>. U isto vrijeme pripremamo 9%-tni SDS-poliakrilamidni gel za razdvajanje (4,3 mL H</w:t>
      </w:r>
      <w:r w:rsidRPr="00F812E5">
        <w:rPr>
          <w:rFonts w:ascii="Arial" w:hAnsi="Arial" w:cs="Arial"/>
          <w:color w:val="auto"/>
          <w:sz w:val="20"/>
          <w:szCs w:val="20"/>
          <w:vertAlign w:val="subscript"/>
        </w:rPr>
        <w:t>2</w:t>
      </w:r>
      <w:r w:rsidRPr="00F812E5">
        <w:rPr>
          <w:rFonts w:ascii="Arial" w:hAnsi="Arial" w:cs="Arial"/>
          <w:color w:val="auto"/>
          <w:sz w:val="20"/>
          <w:szCs w:val="20"/>
        </w:rPr>
        <w:t>O; 2,5 mL trisa pH 8,8; 3 mL 30% akrilamid/bisakrilamida; 100 µL 10% APS-a [amonij persulfat] i 6,6 µL temeda), te SDS-polikrilamidni gel za sabijanje (3,05 H</w:t>
      </w:r>
      <w:r w:rsidRPr="00F812E5">
        <w:rPr>
          <w:rFonts w:ascii="Arial" w:hAnsi="Arial" w:cs="Arial"/>
          <w:color w:val="auto"/>
          <w:sz w:val="20"/>
          <w:szCs w:val="20"/>
          <w:vertAlign w:val="subscript"/>
        </w:rPr>
        <w:t>2</w:t>
      </w:r>
      <w:r w:rsidRPr="00F812E5">
        <w:rPr>
          <w:rFonts w:ascii="Arial" w:hAnsi="Arial" w:cs="Arial"/>
          <w:color w:val="auto"/>
          <w:sz w:val="20"/>
          <w:szCs w:val="20"/>
        </w:rPr>
        <w:t xml:space="preserve">O; 1,25 mL trisa pH 6,8; 0,65 mL 30% akrilamid/bisakrilamida; 40 µL 10% APS-a i 5 µL temeda). Uzorke centrifugiramo 60 sekundi na 13 000g (Mikro 120, Hettich, Njemačka) kako bi bili maksimalno koncentrirani na dnu </w:t>
      </w:r>
      <w:r w:rsidR="00F812E5" w:rsidRPr="00F812E5">
        <w:rPr>
          <w:rFonts w:ascii="Arial" w:hAnsi="Arial" w:cs="Arial"/>
          <w:color w:val="auto"/>
          <w:sz w:val="20"/>
          <w:szCs w:val="20"/>
        </w:rPr>
        <w:t>tubice</w:t>
      </w:r>
      <w:r w:rsidRPr="00F812E5">
        <w:rPr>
          <w:rFonts w:ascii="Arial" w:hAnsi="Arial" w:cs="Arial"/>
          <w:color w:val="auto"/>
          <w:sz w:val="20"/>
          <w:szCs w:val="20"/>
        </w:rPr>
        <w:t xml:space="preserve"> nakon čega se nanose na gel u koncentraciji od 35 µg. U prvu jažicu stavljamo 2 µL proteinskog markera koji služi kao standard molekularnih težina pomoću kojeg ćemo za vrijeme analize moći odrediti molekularnu težinu proteina od interesa. Gelovi se stavljaju u pufer za elektroforezu (10 g SDS-a u 100 mL H</w:t>
      </w:r>
      <w:r w:rsidRPr="00F812E5">
        <w:rPr>
          <w:rFonts w:ascii="Arial" w:hAnsi="Arial" w:cs="Arial"/>
          <w:color w:val="auto"/>
          <w:sz w:val="20"/>
          <w:szCs w:val="20"/>
          <w:vertAlign w:val="subscript"/>
        </w:rPr>
        <w:t>2</w:t>
      </w:r>
      <w:r w:rsidRPr="00F812E5">
        <w:rPr>
          <w:rFonts w:ascii="Arial" w:hAnsi="Arial" w:cs="Arial"/>
          <w:color w:val="auto"/>
          <w:sz w:val="20"/>
          <w:szCs w:val="20"/>
        </w:rPr>
        <w:t>O; 30 g trisa i 115,2 g glicina otopljenih u 1 L H</w:t>
      </w:r>
      <w:r w:rsidRPr="00F812E5">
        <w:rPr>
          <w:rFonts w:ascii="Arial" w:hAnsi="Arial" w:cs="Arial"/>
          <w:color w:val="auto"/>
          <w:sz w:val="20"/>
          <w:szCs w:val="20"/>
          <w:vertAlign w:val="subscript"/>
        </w:rPr>
        <w:t>2</w:t>
      </w:r>
      <w:r w:rsidRPr="00F812E5">
        <w:rPr>
          <w:rFonts w:ascii="Arial" w:hAnsi="Arial" w:cs="Arial"/>
          <w:color w:val="auto"/>
          <w:sz w:val="20"/>
          <w:szCs w:val="20"/>
        </w:rPr>
        <w:t>O) te se postavke uređaja prilagođavaju ovisno o molekularnoj težini proteina od interesa. U našim analizama koristili smo postavke 150 V i 400 mA tijekom 60 minuta (Bio-Rad PowerPac Basic, Hercules, CA, SAD). Nakon razdvajanja, prenjeli smo proteine na nitroceluloznu membranu pomoću postupka mokrog transfera tijekom 60 min na 100 V i 400 mA u puferu za mokri proteinski transfer sastava:105 g glicina i 22,32 g trisa otopljenih u 1 L H</w:t>
      </w:r>
      <w:r w:rsidRPr="00F812E5">
        <w:rPr>
          <w:rFonts w:ascii="Arial" w:hAnsi="Arial" w:cs="Arial"/>
          <w:color w:val="auto"/>
          <w:sz w:val="20"/>
          <w:szCs w:val="20"/>
          <w:vertAlign w:val="subscript"/>
        </w:rPr>
        <w:t>2</w:t>
      </w:r>
      <w:r w:rsidRPr="00F812E5">
        <w:rPr>
          <w:rFonts w:ascii="Arial" w:hAnsi="Arial" w:cs="Arial"/>
          <w:color w:val="auto"/>
          <w:sz w:val="20"/>
          <w:szCs w:val="20"/>
        </w:rPr>
        <w:t xml:space="preserve">O. Nakon završenog transfera provjerili smo uspješnost elektroforeze i transfera pomoću reverzibilnog bojanja otopinom Ponceau (0,1% Ponceau </w:t>
      </w:r>
      <w:r w:rsidR="00F812E5">
        <w:rPr>
          <w:rFonts w:ascii="Arial" w:hAnsi="Arial" w:cs="Arial"/>
          <w:color w:val="auto"/>
          <w:sz w:val="20"/>
          <w:szCs w:val="20"/>
        </w:rPr>
        <w:t xml:space="preserve">S </w:t>
      </w:r>
      <w:r w:rsidRPr="00F812E5">
        <w:rPr>
          <w:rFonts w:ascii="Arial" w:hAnsi="Arial" w:cs="Arial"/>
          <w:color w:val="auto"/>
          <w:sz w:val="20"/>
          <w:szCs w:val="20"/>
        </w:rPr>
        <w:t>otopina pripremljena u 5%-tnoj octenoj kiselini) te membrane isprali u LSWB puferu (pH 7,5; 1,211 g trisa i 8,766 g NaCl u 1 L H</w:t>
      </w:r>
      <w:r w:rsidRPr="00F812E5">
        <w:rPr>
          <w:rFonts w:ascii="Arial" w:hAnsi="Arial" w:cs="Arial"/>
          <w:color w:val="auto"/>
          <w:sz w:val="20"/>
          <w:szCs w:val="20"/>
          <w:vertAlign w:val="subscript"/>
        </w:rPr>
        <w:t>2</w:t>
      </w:r>
      <w:r w:rsidRPr="00F812E5">
        <w:rPr>
          <w:rFonts w:ascii="Arial" w:hAnsi="Arial" w:cs="Arial"/>
          <w:color w:val="auto"/>
          <w:sz w:val="20"/>
          <w:szCs w:val="20"/>
        </w:rPr>
        <w:t xml:space="preserve">O). Proces blokiranja membrane kojim se sprječava nespecifično vezanje primarnog i sekundarnog protutijela za membranu izveden je inkubacijom membrane u otopini za blokiranje (1 g nemasnog mlijeka u prahu; 20 mL pufera; 100 µL Tween-a) tijekom 1 sata na sobnoj temperaturi. Nakon blokiranja membrane su inkubirane preko noći na 4 °C s protutijelima otopljenima u otopini za blokiranje (razrjeđenja P70S6K, pP70S6K, ULK1, pULK1, ERK1/2, pERK - 1:1000) Idući dan, membrane su tri puta isprane </w:t>
      </w:r>
      <w:r w:rsidR="00F812E5">
        <w:rPr>
          <w:rFonts w:ascii="Arial" w:hAnsi="Arial" w:cs="Arial"/>
          <w:color w:val="auto"/>
          <w:sz w:val="20"/>
          <w:szCs w:val="20"/>
        </w:rPr>
        <w:t xml:space="preserve">u </w:t>
      </w:r>
      <w:r w:rsidRPr="00F812E5">
        <w:rPr>
          <w:rFonts w:ascii="Arial" w:hAnsi="Arial" w:cs="Arial"/>
          <w:color w:val="auto"/>
          <w:sz w:val="20"/>
          <w:szCs w:val="20"/>
        </w:rPr>
        <w:t>LSWB puferu i inkubirane 1 sat na sobnoj temperaturi s odgovarajućim sekundarnim protutijelom (anti-mouse 1:2000, anti-rabbit 1:2000) razrijeđenim u otopini za blokiranje. Isprali smo membrane i inkubirali u kemiluminiscentnoj otopini pripremljenoj miješanjem jednakih volumena otopine vodikovog peroksida i luminola (</w:t>
      </w:r>
      <w:r w:rsidR="00F812E5">
        <w:rPr>
          <w:rFonts w:ascii="Arial" w:hAnsi="Arial" w:cs="Arial"/>
          <w:color w:val="auto"/>
          <w:sz w:val="20"/>
          <w:szCs w:val="20"/>
        </w:rPr>
        <w:t xml:space="preserve">Super Signal </w:t>
      </w:r>
      <w:r w:rsidRPr="00F812E5">
        <w:rPr>
          <w:rFonts w:ascii="Arial" w:hAnsi="Arial" w:cs="Arial"/>
          <w:color w:val="auto"/>
          <w:sz w:val="20"/>
          <w:szCs w:val="20"/>
        </w:rPr>
        <w:t xml:space="preserve">West Femto). Proteine smo prikazali i slikali kamerom (DNR Bio-Imaging Systems MicroChemi, </w:t>
      </w:r>
      <w:r w:rsidRPr="00F812E5">
        <w:rPr>
          <w:rFonts w:ascii="Arial" w:hAnsi="Arial" w:cs="Arial"/>
          <w:color w:val="auto"/>
          <w:sz w:val="20"/>
          <w:szCs w:val="20"/>
          <w:shd w:val="clear" w:color="auto" w:fill="FFFFFF"/>
        </w:rPr>
        <w:t xml:space="preserve">Jerusalem, Israel). Nakon uspješnog prikazivanja proteina od interesa membrana je inkubirana s protutijelom na β-aktin (1:3000) na </w:t>
      </w:r>
      <w:r w:rsidRPr="00F812E5">
        <w:rPr>
          <w:rFonts w:ascii="Arial" w:hAnsi="Arial" w:cs="Arial"/>
          <w:color w:val="auto"/>
          <w:sz w:val="20"/>
          <w:szCs w:val="20"/>
        </w:rPr>
        <w:t xml:space="preserve">4 °C tijekom 24 sata. Za analizu aktina korišten je isti postupak kao i za primarni protein od interesa. Analizu aktina koristili smo kao kontrolu postupka te su intenziteti proteina izraženi u omjeru prema signalu aktina u istom uzorku na odgovarajućoj membrani. Rezultati promjene fosforilacije izraženi su kao omjer omjera fosforiliranog proteina i odgovarajućeg aktina i ukupnog proteina i odgovarajućeg aktina. Rezultati su prikazani u obliku srednje vrijednosti ± standardna </w:t>
      </w:r>
      <w:r w:rsidR="00A03850">
        <w:rPr>
          <w:rFonts w:ascii="Arial" w:hAnsi="Arial" w:cs="Arial"/>
          <w:color w:val="auto"/>
          <w:sz w:val="20"/>
          <w:szCs w:val="20"/>
        </w:rPr>
        <w:t>po</w:t>
      </w:r>
      <w:r w:rsidRPr="00F812E5">
        <w:rPr>
          <w:rFonts w:ascii="Arial" w:hAnsi="Arial" w:cs="Arial"/>
          <w:color w:val="auto"/>
          <w:sz w:val="20"/>
          <w:szCs w:val="20"/>
        </w:rPr>
        <w:t xml:space="preserve">greška. </w:t>
      </w:r>
      <w:bookmarkStart w:id="11" w:name="_Toc386475789"/>
    </w:p>
    <w:p w14:paraId="4B9063C4" w14:textId="59FE60B9" w:rsidR="00627A8A" w:rsidRDefault="00627A8A" w:rsidP="00627A8A">
      <w:pPr>
        <w:pStyle w:val="Heading3"/>
        <w:numPr>
          <w:ilvl w:val="2"/>
          <w:numId w:val="8"/>
        </w:numPr>
        <w:rPr>
          <w:rFonts w:ascii="Arial" w:hAnsi="Arial" w:cs="Arial"/>
          <w:color w:val="auto"/>
        </w:rPr>
      </w:pPr>
      <w:r>
        <w:rPr>
          <w:rFonts w:ascii="Arial" w:hAnsi="Arial" w:cs="Arial"/>
          <w:color w:val="auto"/>
        </w:rPr>
        <w:t>Imunofluorescentno bojenje</w:t>
      </w:r>
    </w:p>
    <w:bookmarkEnd w:id="11"/>
    <w:p w14:paraId="6E3A6F74" w14:textId="77777777" w:rsidR="00627A8A" w:rsidRDefault="00627A8A" w:rsidP="009A0490">
      <w:pPr>
        <w:spacing w:line="360" w:lineRule="auto"/>
        <w:rPr>
          <w:lang w:eastAsia="hr-HR"/>
        </w:rPr>
      </w:pPr>
    </w:p>
    <w:p w14:paraId="0C9DF542" w14:textId="77777777" w:rsidR="00627A8A" w:rsidRDefault="009A0490" w:rsidP="00627A8A">
      <w:pPr>
        <w:spacing w:line="360" w:lineRule="auto"/>
        <w:jc w:val="both"/>
        <w:rPr>
          <w:rFonts w:ascii="Arial" w:eastAsia="Times New Roman" w:hAnsi="Arial" w:cs="Arial"/>
          <w:sz w:val="20"/>
          <w:szCs w:val="20"/>
          <w:lang w:eastAsia="hr-HR"/>
        </w:rPr>
      </w:pPr>
      <w:r w:rsidRPr="005208C9">
        <w:rPr>
          <w:rFonts w:ascii="Arial" w:hAnsi="Arial" w:cs="Arial"/>
          <w:sz w:val="20"/>
          <w:szCs w:val="20"/>
        </w:rPr>
        <w:t>Nakon perfuzije životinja 4% paraformaldehidom (pH 7.4), mozgovi životinja odstranjeni su i krioprezervirani serijskim otopinama saharoze (15 i 30%) te pohranjeni na - 80</w:t>
      </w:r>
      <w:r w:rsidRPr="005208C9">
        <w:rPr>
          <w:rFonts w:ascii="Arial" w:hAnsi="Arial" w:cs="Arial"/>
          <w:color w:val="000000" w:themeColor="text1"/>
          <w:sz w:val="20"/>
          <w:szCs w:val="20"/>
        </w:rPr>
        <w:t>°C do daljnjeg rukovanja. Moždano deblo o</w:t>
      </w:r>
      <w:r w:rsidR="00627A8A">
        <w:rPr>
          <w:rFonts w:ascii="Arial" w:hAnsi="Arial" w:cs="Arial"/>
          <w:color w:val="000000" w:themeColor="text1"/>
          <w:sz w:val="20"/>
          <w:szCs w:val="20"/>
        </w:rPr>
        <w:t>d</w:t>
      </w:r>
      <w:r w:rsidRPr="005208C9">
        <w:rPr>
          <w:rFonts w:ascii="Arial" w:hAnsi="Arial" w:cs="Arial"/>
          <w:color w:val="000000" w:themeColor="text1"/>
          <w:sz w:val="20"/>
          <w:szCs w:val="20"/>
        </w:rPr>
        <w:t>vojeno je od velikog i malog mozga na -</w:t>
      </w:r>
      <w:r w:rsidRPr="005208C9">
        <w:rPr>
          <w:rFonts w:ascii="Arial" w:hAnsi="Arial" w:cs="Arial"/>
          <w:sz w:val="20"/>
          <w:szCs w:val="20"/>
        </w:rPr>
        <w:t>25</w:t>
      </w:r>
      <w:r w:rsidRPr="005208C9">
        <w:rPr>
          <w:rFonts w:ascii="Arial" w:hAnsi="Arial" w:cs="Arial"/>
          <w:color w:val="000000" w:themeColor="text1"/>
          <w:sz w:val="20"/>
          <w:szCs w:val="20"/>
        </w:rPr>
        <w:t xml:space="preserve">°C nakon čega je tkivo učvršćeno </w:t>
      </w:r>
      <w:r w:rsidRPr="005208C9">
        <w:rPr>
          <w:rFonts w:ascii="Arial" w:hAnsi="Arial" w:cs="Arial"/>
          <w:color w:val="000000" w:themeColor="text1"/>
          <w:sz w:val="20"/>
          <w:szCs w:val="20"/>
        </w:rPr>
        <w:lastRenderedPageBreak/>
        <w:t xml:space="preserve">TissueTek otopinom, narezano na </w:t>
      </w:r>
      <w:r w:rsidRPr="005208C9">
        <w:rPr>
          <w:rFonts w:ascii="Arial" w:hAnsi="Arial" w:cs="Arial"/>
          <w:sz w:val="20"/>
          <w:szCs w:val="20"/>
        </w:rPr>
        <w:t xml:space="preserve">kliznom mikrotomu (Leica SM 2010R, Wetzlar, Njemačka) </w:t>
      </w:r>
      <w:r>
        <w:rPr>
          <w:rFonts w:ascii="Arial" w:hAnsi="Arial" w:cs="Arial"/>
          <w:sz w:val="20"/>
          <w:szCs w:val="20"/>
        </w:rPr>
        <w:t xml:space="preserve">između područja </w:t>
      </w:r>
      <w:r w:rsidRPr="002A3978">
        <w:rPr>
          <w:rFonts w:ascii="Arial" w:hAnsi="Arial" w:cs="Arial"/>
          <w:sz w:val="20"/>
          <w:szCs w:val="20"/>
        </w:rPr>
        <w:t>Bregma -14.04mm i Bregma -14.16mm</w:t>
      </w:r>
      <w:r>
        <w:rPr>
          <w:rFonts w:ascii="Arial" w:hAnsi="Arial" w:cs="Arial"/>
          <w:sz w:val="20"/>
          <w:szCs w:val="20"/>
        </w:rPr>
        <w:t xml:space="preserve"> </w:t>
      </w:r>
      <w:r w:rsidRPr="005208C9">
        <w:rPr>
          <w:rFonts w:ascii="Arial" w:hAnsi="Arial" w:cs="Arial"/>
          <w:sz w:val="20"/>
          <w:szCs w:val="20"/>
        </w:rPr>
        <w:t>na</w:t>
      </w:r>
      <w:r>
        <w:rPr>
          <w:rFonts w:ascii="Arial" w:hAnsi="Arial" w:cs="Arial"/>
          <w:sz w:val="20"/>
          <w:szCs w:val="20"/>
        </w:rPr>
        <w:t xml:space="preserve"> prereze debljine</w:t>
      </w:r>
      <w:r w:rsidRPr="005208C9">
        <w:rPr>
          <w:rFonts w:ascii="Arial" w:hAnsi="Arial" w:cs="Arial"/>
          <w:sz w:val="20"/>
          <w:szCs w:val="20"/>
        </w:rPr>
        <w:t xml:space="preserve"> od 35 µm </w:t>
      </w:r>
      <w:r>
        <w:rPr>
          <w:rFonts w:ascii="Arial" w:hAnsi="Arial" w:cs="Arial"/>
          <w:sz w:val="20"/>
          <w:szCs w:val="20"/>
        </w:rPr>
        <w:t>te</w:t>
      </w:r>
      <w:r w:rsidRPr="005208C9">
        <w:rPr>
          <w:rFonts w:ascii="Arial" w:hAnsi="Arial" w:cs="Arial"/>
          <w:sz w:val="20"/>
          <w:szCs w:val="20"/>
        </w:rPr>
        <w:t xml:space="preserve"> pohranjeno u PBS </w:t>
      </w:r>
      <w:r w:rsidRPr="003744EB">
        <w:rPr>
          <w:rFonts w:ascii="Arial" w:hAnsi="Arial" w:cs="Arial"/>
          <w:sz w:val="20"/>
          <w:szCs w:val="20"/>
        </w:rPr>
        <w:t xml:space="preserve">pH 7.4. Nakon </w:t>
      </w:r>
      <w:r w:rsidRPr="005208C9">
        <w:rPr>
          <w:rFonts w:ascii="Arial" w:hAnsi="Arial" w:cs="Arial"/>
          <w:sz w:val="20"/>
          <w:szCs w:val="20"/>
        </w:rPr>
        <w:t>3 ispiranja otopinom PBS tkivo je blokirano u 10% NDS u PBST (0.25% Triton X-100 u PBS) 1 sat. Nakon blokiranja prerezi su inkubirani s odgovarajućim koncentracijama primarnog protutijela u 1% NDS PBST puferu na 4</w:t>
      </w:r>
      <w:r w:rsidRPr="005208C9">
        <w:rPr>
          <w:rFonts w:ascii="Arial" w:hAnsi="Arial" w:cs="Arial"/>
          <w:color w:val="000000" w:themeColor="text1"/>
          <w:sz w:val="20"/>
          <w:szCs w:val="20"/>
        </w:rPr>
        <w:t xml:space="preserve">°C tijekom 24 sata </w:t>
      </w:r>
      <w:r w:rsidRPr="003744EB">
        <w:rPr>
          <w:rFonts w:ascii="Arial" w:hAnsi="Arial" w:cs="Arial"/>
          <w:sz w:val="20"/>
          <w:szCs w:val="20"/>
        </w:rPr>
        <w:t xml:space="preserve">(razrjeđenja c-fos 1:1000; IR 1:500; pULK1 1:500; GFAP 1:600; pIRS1 1:500; GLUT3 1:500; GLUT4 1:500). </w:t>
      </w:r>
      <w:r w:rsidRPr="005208C9">
        <w:rPr>
          <w:rFonts w:ascii="Arial" w:hAnsi="Arial" w:cs="Arial"/>
          <w:color w:val="000000" w:themeColor="text1"/>
          <w:sz w:val="20"/>
          <w:szCs w:val="20"/>
        </w:rPr>
        <w:t>Idući dan prerezi su isprani 3 puta u PBS i inkubirani s odgovarajućim koncentracijama sekundarnih fluorescentnih protutijela 2 sata na sobnoj temperaturi u mraku</w:t>
      </w:r>
      <w:r>
        <w:rPr>
          <w:rFonts w:ascii="Arial" w:hAnsi="Arial" w:cs="Arial"/>
          <w:color w:val="000000" w:themeColor="text1"/>
          <w:sz w:val="20"/>
          <w:szCs w:val="20"/>
        </w:rPr>
        <w:t xml:space="preserve"> (AlexaFluor488 1:600; AlexaFluor555 1:600)</w:t>
      </w:r>
      <w:r w:rsidRPr="005208C9">
        <w:rPr>
          <w:rFonts w:ascii="Arial" w:hAnsi="Arial" w:cs="Arial"/>
          <w:color w:val="000000" w:themeColor="text1"/>
          <w:sz w:val="20"/>
          <w:szCs w:val="20"/>
        </w:rPr>
        <w:t xml:space="preserve">. Nakon ispiranja 3 puta u PBS prerezi su postavljeni na predmetna stakalca u destiliranoj vodi i ostavljeni da se osuše. Nakon sušenja na svako je predmetno stakalce dodana Fluoroshield otopina i pokrovno stakalce nakon čega su preparati pohranjeni u mraku na </w:t>
      </w:r>
      <w:r w:rsidRPr="005208C9">
        <w:rPr>
          <w:rFonts w:ascii="Arial" w:hAnsi="Arial" w:cs="Arial"/>
          <w:sz w:val="20"/>
          <w:szCs w:val="20"/>
        </w:rPr>
        <w:t>4</w:t>
      </w:r>
      <w:r w:rsidRPr="005208C9">
        <w:rPr>
          <w:rFonts w:ascii="Arial" w:hAnsi="Arial" w:cs="Arial"/>
          <w:color w:val="000000" w:themeColor="text1"/>
          <w:sz w:val="20"/>
          <w:szCs w:val="20"/>
        </w:rPr>
        <w:t xml:space="preserve">°C do daljnjeg korištenja. Za vizualizaciju preparata korišteni su </w:t>
      </w:r>
      <w:r w:rsidRPr="005208C9">
        <w:rPr>
          <w:rFonts w:ascii="Arial" w:eastAsia="Times New Roman" w:hAnsi="Arial" w:cs="Arial"/>
          <w:sz w:val="20"/>
          <w:szCs w:val="20"/>
          <w:lang w:eastAsia="hr-HR"/>
        </w:rPr>
        <w:t xml:space="preserve">Olympus BX51 mikroskop i CellSense Dimension </w:t>
      </w:r>
      <w:r w:rsidRPr="008D4097">
        <w:rPr>
          <w:rFonts w:ascii="Arial" w:eastAsia="Times New Roman" w:hAnsi="Arial" w:cs="Arial"/>
          <w:sz w:val="20"/>
          <w:szCs w:val="20"/>
          <w:lang w:eastAsia="hr-HR"/>
        </w:rPr>
        <w:t>software</w:t>
      </w:r>
      <w:r w:rsidRPr="005208C9">
        <w:rPr>
          <w:rFonts w:ascii="Arial" w:eastAsia="Times New Roman" w:hAnsi="Arial" w:cs="Arial"/>
          <w:sz w:val="20"/>
          <w:szCs w:val="20"/>
          <w:lang w:eastAsia="hr-HR"/>
        </w:rPr>
        <w:t>.</w:t>
      </w:r>
    </w:p>
    <w:p w14:paraId="33572657" w14:textId="3F6ADC7E" w:rsidR="00627A8A" w:rsidRDefault="00627A8A" w:rsidP="00627A8A">
      <w:pPr>
        <w:pStyle w:val="Heading3"/>
        <w:numPr>
          <w:ilvl w:val="2"/>
          <w:numId w:val="8"/>
        </w:numPr>
        <w:rPr>
          <w:rFonts w:ascii="Arial" w:hAnsi="Arial" w:cs="Arial"/>
          <w:color w:val="auto"/>
        </w:rPr>
      </w:pPr>
      <w:r w:rsidRPr="00627A8A">
        <w:rPr>
          <w:rFonts w:ascii="Arial" w:hAnsi="Arial" w:cs="Arial"/>
          <w:color w:val="auto"/>
        </w:rPr>
        <w:t>Mjerenje antioksidativnog kapaciteta i oksidativnog stresa</w:t>
      </w:r>
    </w:p>
    <w:p w14:paraId="7EE28227" w14:textId="77777777" w:rsidR="00627A8A" w:rsidRDefault="009A0490" w:rsidP="00627A8A">
      <w:pPr>
        <w:spacing w:line="360" w:lineRule="auto"/>
        <w:jc w:val="both"/>
        <w:rPr>
          <w:rFonts w:ascii="Arial" w:hAnsi="Arial" w:cs="Arial"/>
          <w:sz w:val="20"/>
          <w:szCs w:val="20"/>
        </w:rPr>
      </w:pPr>
      <w:r w:rsidRPr="005208C9">
        <w:rPr>
          <w:rFonts w:ascii="Arial" w:hAnsi="Arial" w:cs="Arial"/>
          <w:sz w:val="20"/>
          <w:szCs w:val="20"/>
        </w:rPr>
        <w:br/>
        <w:t xml:space="preserve">U svim kolorimetrijskim mjerenjima korišteni su spektrofotometar </w:t>
      </w:r>
      <w:r>
        <w:rPr>
          <w:rFonts w:ascii="Arial" w:hAnsi="Arial" w:cs="Arial"/>
          <w:sz w:val="20"/>
          <w:szCs w:val="20"/>
        </w:rPr>
        <w:t xml:space="preserve">CamSpec M350 Double Beam UV-Visible </w:t>
      </w:r>
      <w:r w:rsidRPr="003744EB">
        <w:rPr>
          <w:rFonts w:ascii="Arial" w:hAnsi="Arial" w:cs="Arial"/>
          <w:sz w:val="20"/>
          <w:szCs w:val="20"/>
        </w:rPr>
        <w:t xml:space="preserve">Spectrophotometer i standardne kivete od 1cm. </w:t>
      </w:r>
    </w:p>
    <w:p w14:paraId="1FDB3036" w14:textId="410F0C15" w:rsidR="00627A8A" w:rsidRPr="00627A8A" w:rsidRDefault="00627A8A" w:rsidP="009A0490">
      <w:pPr>
        <w:pStyle w:val="ListParagraph"/>
        <w:numPr>
          <w:ilvl w:val="3"/>
          <w:numId w:val="8"/>
        </w:numPr>
        <w:spacing w:line="360" w:lineRule="auto"/>
        <w:jc w:val="both"/>
        <w:rPr>
          <w:rFonts w:ascii="Arial" w:hAnsi="Arial" w:cs="Arial"/>
          <w:i/>
          <w:sz w:val="20"/>
          <w:szCs w:val="20"/>
        </w:rPr>
      </w:pPr>
      <w:r w:rsidRPr="00627A8A">
        <w:rPr>
          <w:rFonts w:ascii="Arial" w:hAnsi="Arial" w:cs="Arial"/>
          <w:i/>
          <w:sz w:val="20"/>
          <w:szCs w:val="20"/>
        </w:rPr>
        <w:t>Mjerenje aktivnosti katalaze</w:t>
      </w:r>
    </w:p>
    <w:p w14:paraId="794F4AE8" w14:textId="77777777" w:rsidR="00627A8A" w:rsidRPr="00627A8A" w:rsidRDefault="00627A8A" w:rsidP="00627A8A">
      <w:pPr>
        <w:pStyle w:val="ListParagraph"/>
        <w:spacing w:line="360" w:lineRule="auto"/>
        <w:ind w:left="1080"/>
        <w:jc w:val="both"/>
        <w:rPr>
          <w:rFonts w:ascii="Arial" w:hAnsi="Arial" w:cs="Arial"/>
          <w:sz w:val="20"/>
          <w:szCs w:val="20"/>
        </w:rPr>
      </w:pPr>
    </w:p>
    <w:p w14:paraId="1DFAD01E" w14:textId="4BD1B80A" w:rsidR="00627A8A" w:rsidRPr="00D46669" w:rsidRDefault="009A0490" w:rsidP="009A0490">
      <w:pPr>
        <w:spacing w:line="360" w:lineRule="auto"/>
        <w:jc w:val="both"/>
        <w:rPr>
          <w:rFonts w:ascii="Arial" w:hAnsi="Arial" w:cs="Arial"/>
          <w:color w:val="000000" w:themeColor="text1"/>
          <w:sz w:val="20"/>
          <w:szCs w:val="20"/>
        </w:rPr>
      </w:pPr>
      <w:r w:rsidRPr="00D46669">
        <w:rPr>
          <w:rFonts w:ascii="Arial" w:hAnsi="Arial" w:cs="Arial"/>
          <w:sz w:val="20"/>
          <w:szCs w:val="20"/>
        </w:rPr>
        <w:t>Aktivnost katal</w:t>
      </w:r>
      <w:r w:rsidR="00627A8A" w:rsidRPr="00D46669">
        <w:rPr>
          <w:rFonts w:ascii="Arial" w:hAnsi="Arial" w:cs="Arial"/>
          <w:sz w:val="20"/>
          <w:szCs w:val="20"/>
        </w:rPr>
        <w:t>a</w:t>
      </w:r>
      <w:r w:rsidRPr="00D46669">
        <w:rPr>
          <w:rFonts w:ascii="Arial" w:hAnsi="Arial" w:cs="Arial"/>
          <w:sz w:val="20"/>
          <w:szCs w:val="20"/>
        </w:rPr>
        <w:t xml:space="preserve">ze mjerena je spektrofotometrijskom metodom po Aebiju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"DOI" : "10.1016/S0076-6879(84)05016-3", "ISBN" : "9780121820053", "ISSN" : "0076-6879", "abstract" : "Catalase exerts a dual function: (1) decomposition of H2O2 to give H2O and O2 (catalytic activity) and (2) oxidation of H donors, for example, methanol, ethanol, formic acid, phenols, with the consumption of 1 mol of peroxide (peroxide activity). The kinetics of catalase does not obey the normal pattern. Measurements of enzyme activity at substrate saturation or determination of the Ks is therefore impossible. In contrast to reactions proceeding at substrate saturation, the enzymic decomposition of H2O2 is a first-order reaction, the rate of which is always proportional to the peroxide concentration present. Consequently, to avoid a rapid decrease in the initial rate of the reaction, the assay must be carried out with relatively low concentrations of H2O2 (about 0.01 M). This chapter discusses the catalytic activity of catalase. The method of choice for biological material, however, is ultraviolet (UV) spectrophotometry. Titrimetric methods are suitable for comparative studies. For large series of measurements, there are either simple screening tests, which give a quick indication of the approximative catalase activity, or automated methods.", "author" : [ { "dropping-particle" : "", "family" : "Aebi", "given" : "Hugo", "non-dropping-particle" : "", "parse-names" : false, "suffix" : "" } ], "container-title" : "Methods in Enzymology", "id" : "ITEM-1", "issued" : { "date-parts" : [ [ "1984", "1", "1" ] ] }, "page" : "121-126", "publisher" : "Academic Press", "title" : "Catalase in vitro", "type" : "article-journal", "volume" : "105" }, "uris" : [ "http://www.mendeley.com/documents/?uuid=cfe1822b-0d91-30a3-aa2a-7b3f832b2870" ] } ], "mendeley" : { "formattedCitation" : "(Aebi, 1984)", "plainTextFormattedCitation" : "(Aebi, 1984)", "previouslyFormattedCitation" : "(Aebi, 1984)" }, "properties" : {  }, "schema" : "https://github.com/citation-style-language/schema/raw/master/csl-citation.json" }</w:instrText>
      </w:r>
      <w:r w:rsidRPr="00D46669">
        <w:rPr>
          <w:rFonts w:ascii="Arial" w:hAnsi="Arial" w:cs="Arial"/>
          <w:sz w:val="20"/>
          <w:szCs w:val="20"/>
        </w:rPr>
        <w:fldChar w:fldCharType="separate"/>
      </w:r>
      <w:r w:rsidRPr="00D46669">
        <w:rPr>
          <w:rFonts w:ascii="Arial" w:hAnsi="Arial" w:cs="Arial"/>
          <w:noProof/>
          <w:sz w:val="20"/>
          <w:szCs w:val="20"/>
        </w:rPr>
        <w:t>(Aebi, 1984)</w:t>
      </w:r>
      <w:r w:rsidRPr="00D46669">
        <w:rPr>
          <w:rFonts w:ascii="Arial" w:hAnsi="Arial" w:cs="Arial"/>
          <w:sz w:val="20"/>
          <w:szCs w:val="20"/>
        </w:rPr>
        <w:fldChar w:fldCharType="end"/>
      </w:r>
      <w:r w:rsidRPr="00D46669">
        <w:rPr>
          <w:rFonts w:ascii="Arial" w:hAnsi="Arial" w:cs="Arial"/>
          <w:sz w:val="20"/>
          <w:szCs w:val="20"/>
        </w:rPr>
        <w:t xml:space="preserve"> opisanoj u </w:t>
      </w:r>
      <w:r w:rsidRPr="00D46669">
        <w:rPr>
          <w:rFonts w:ascii="Arial" w:hAnsi="Arial" w:cs="Arial"/>
          <w:sz w:val="20"/>
          <w:szCs w:val="20"/>
        </w:rPr>
        <w:fldChar w:fldCharType="begin" w:fldLock="1"/>
      </w:r>
      <w:r w:rsidRPr="00D46669">
        <w:rPr>
          <w:rFonts w:ascii="Arial" w:hAnsi="Arial" w:cs="Arial"/>
          <w:sz w:val="20"/>
          <w:szCs w:val="20"/>
        </w:rPr>
        <w:instrText>ADDIN CSL_CITATION { "citationItems" : [ { "id" : "ITEM-1", "itemData" : { "DOI" : "10.1002/jat.1775", "ISSN" : "0260437X", "PMID" : "22161306", "abstract" : "This study investigated the oxidative stress induced after acute oral treatment with 500, 1000 and 2000\u2009mg kg\u207b\u00b9 doses of Al\u2082O\u2083 -30 and -40\u2009nm and bulk Al\u2082O\u2083 in Wistar rats. Both the nanomaterials induced significant oxidative stress in a dose-dependent manner in comparison to the bulk. There was no significant difference between the two nanomaterials. However, the effect decreased with increase with time after treatment. The histopathological examination showed lesions only in liver with Al\u2082O\u2083 nanomaterials at 2000\u2009mg kg\u207b\u00b9.", "author" : [ { "dropping-particle" : "V.", "family" : "Prabhakar", "given" : "P.", "non-dropping-particle" : "", "parse-names" : false, "suffix" : "" }, { "dropping-particle" : "", "family" : "Reddy", "given" : "Utkarsh A.", "non-dropping-particle" : "", "parse-names" : false, "suffix" : "" }, { "dropping-particle" : "", "family" : "Singh", "given" : "S. P.", "non-dropping-particle" : "", "parse-names" : false, "suffix" : "" }, { "dropping-particle" : "", "family" : "Balasubramanyam", "given" : "A.", "non-dropping-particle" : "", "parse-names" : false, "suffix" : "" }, { "dropping-particle" : "", "family" : "Rahman", "given" : "M. F.", "non-dropping-particle" : "", "parse-names" : false, "suffix" : "" }, { "dropping-particle" : "", "family" : "Indu Kumari", "given" : "S.", "non-dropping-particle" : "", "parse-names" : false, "suffix" : "" }, { "dropping-particle" : "", "family" : "Agawane", "given" : "Sachin B.", "non-dropping-particle" : "", "parse-names" : false, "suffix" : "" }, { "dropping-particle" : "", "family" : "Murty", "given" : "U. S. N.", "non-dropping-particle" : "", "parse-names" : false, "suffix" : "" }, { "dropping-particle" : "", "family" : "Grover", "given" : "Paramjit", "non-dropping-particle" : "", "parse-names" : false, "suffix" : "" }, { "dropping-particle" : "", "family" : "Mahboob", "given" : "Mohammed", "non-dropping-particle" : "", "parse-names" : false, "suffix" : "" } ], "container-title" : "Journal of Applied Toxicology", "id" : "ITEM-1", "issue" : "6", "issued" : { "date-parts" : [ [ "2012", "6" ] ] }, "page" : "436-445", "title" : "Oxidative stress induced by aluminum oxide nanomaterials after acute oral treatment in Wistar rats", "type" : "article-journal", "volume" : "32" }, "uris" : [ "http://www.mendeley.com/documents/?uuid=26afe244-3a7b-3e54-b49c-6d7edc58cfbc" ] } ], "mendeley" : { "formattedCitation" : "(Prabhakar et al., 2012)", "plainTextFormattedCitation" : "(Prabhakar et al., 2012)", "previouslyFormattedCitation" : "(Prabhakar et al., 2012)" }, "properties" : {  }, "schema" : "https://github.com/citation-style-language/schema/raw/master/csl-citation.json" }</w:instrText>
      </w:r>
      <w:r w:rsidRPr="00D46669">
        <w:rPr>
          <w:rFonts w:ascii="Arial" w:hAnsi="Arial" w:cs="Arial"/>
          <w:sz w:val="20"/>
          <w:szCs w:val="20"/>
        </w:rPr>
        <w:fldChar w:fldCharType="separate"/>
      </w:r>
      <w:r w:rsidRPr="00D46669">
        <w:rPr>
          <w:rFonts w:ascii="Arial" w:hAnsi="Arial" w:cs="Arial"/>
          <w:noProof/>
          <w:sz w:val="20"/>
          <w:szCs w:val="20"/>
        </w:rPr>
        <w:t xml:space="preserve">(Prabhakar </w:t>
      </w:r>
      <w:r w:rsidR="00627A8A" w:rsidRPr="00D46669">
        <w:rPr>
          <w:rFonts w:ascii="Arial" w:hAnsi="Arial" w:cs="Arial"/>
          <w:noProof/>
          <w:sz w:val="20"/>
          <w:szCs w:val="20"/>
        </w:rPr>
        <w:t>i sur</w:t>
      </w:r>
      <w:r w:rsidRPr="00D46669">
        <w:rPr>
          <w:rFonts w:ascii="Arial" w:hAnsi="Arial" w:cs="Arial"/>
          <w:noProof/>
          <w:sz w:val="20"/>
          <w:szCs w:val="20"/>
        </w:rPr>
        <w:t>., 2012)</w:t>
      </w:r>
      <w:r w:rsidRPr="00D46669">
        <w:rPr>
          <w:rFonts w:ascii="Arial" w:hAnsi="Arial" w:cs="Arial"/>
          <w:sz w:val="20"/>
          <w:szCs w:val="20"/>
        </w:rPr>
        <w:fldChar w:fldCharType="end"/>
      </w:r>
      <w:r w:rsidRPr="00D46669">
        <w:rPr>
          <w:rFonts w:ascii="Arial" w:hAnsi="Arial" w:cs="Arial"/>
          <w:sz w:val="20"/>
          <w:szCs w:val="20"/>
        </w:rPr>
        <w:t xml:space="preserve"> uz neke modifikacije. Ukratko, za svaki uzorak pripremljeno je 2mL 0.1M KPB pH 7.4. Netom prije mjerenja u kivetu s KPB dodano je 424 µL 30% H</w:t>
      </w:r>
      <w:r w:rsidRPr="00D46669">
        <w:rPr>
          <w:rFonts w:ascii="Arial" w:hAnsi="Arial" w:cs="Arial"/>
          <w:sz w:val="20"/>
          <w:szCs w:val="20"/>
          <w:vertAlign w:val="subscript"/>
        </w:rPr>
        <w:t>2</w:t>
      </w:r>
      <w:r w:rsidRPr="00D46669">
        <w:rPr>
          <w:rFonts w:ascii="Arial" w:hAnsi="Arial" w:cs="Arial"/>
          <w:sz w:val="20"/>
          <w:szCs w:val="20"/>
        </w:rPr>
        <w:t>O</w:t>
      </w:r>
      <w:r w:rsidRPr="00D46669">
        <w:rPr>
          <w:rFonts w:ascii="Arial" w:hAnsi="Arial" w:cs="Arial"/>
          <w:sz w:val="20"/>
          <w:szCs w:val="20"/>
          <w:vertAlign w:val="subscript"/>
        </w:rPr>
        <w:t>2</w:t>
      </w:r>
      <w:r w:rsidRPr="00D46669">
        <w:rPr>
          <w:rFonts w:ascii="Arial" w:hAnsi="Arial" w:cs="Arial"/>
          <w:color w:val="000000" w:themeColor="text1"/>
          <w:sz w:val="20"/>
          <w:szCs w:val="20"/>
        </w:rPr>
        <w:t>. Izmjerena je početna apsorbancija nakon koje je u kivetu dodano 10</w:t>
      </w:r>
      <w:r w:rsidRPr="00D46669">
        <w:rPr>
          <w:rFonts w:ascii="Arial" w:hAnsi="Arial" w:cs="Arial"/>
          <w:sz w:val="20"/>
          <w:szCs w:val="20"/>
        </w:rPr>
        <w:t xml:space="preserve"> µL tkivnog homogenata. Promjena apsorbancije na 240 nm praćena je u trajanju od 60 sekundi . Za izračune korišten je ekstinkcijski koeficijent od 43,6 M</w:t>
      </w:r>
      <w:r w:rsidRPr="00D46669">
        <w:rPr>
          <w:rFonts w:ascii="Arial" w:hAnsi="Arial" w:cs="Arial"/>
          <w:sz w:val="20"/>
          <w:szCs w:val="20"/>
          <w:vertAlign w:val="superscript"/>
        </w:rPr>
        <w:t>-1</w:t>
      </w:r>
      <w:r w:rsidRPr="00D46669">
        <w:rPr>
          <w:rFonts w:ascii="Arial" w:hAnsi="Arial" w:cs="Arial"/>
          <w:sz w:val="20"/>
          <w:szCs w:val="20"/>
        </w:rPr>
        <w:t>cm</w:t>
      </w:r>
      <w:r w:rsidRPr="00D46669">
        <w:rPr>
          <w:rFonts w:ascii="Arial" w:hAnsi="Arial" w:cs="Arial"/>
          <w:sz w:val="20"/>
          <w:szCs w:val="20"/>
          <w:vertAlign w:val="superscript"/>
        </w:rPr>
        <w:t>-1</w:t>
      </w:r>
      <w:r w:rsidRPr="00D46669">
        <w:rPr>
          <w:rFonts w:ascii="Arial" w:hAnsi="Arial" w:cs="Arial"/>
          <w:sz w:val="20"/>
          <w:szCs w:val="20"/>
        </w:rPr>
        <w:t>. Dobiveni rezultati izraženi su kao M H</w:t>
      </w:r>
      <w:r w:rsidRPr="00D46669">
        <w:rPr>
          <w:rFonts w:ascii="Arial" w:hAnsi="Arial" w:cs="Arial"/>
          <w:sz w:val="20"/>
          <w:szCs w:val="20"/>
          <w:vertAlign w:val="subscript"/>
        </w:rPr>
        <w:t>2</w:t>
      </w:r>
      <w:r w:rsidRPr="00D46669">
        <w:rPr>
          <w:rFonts w:ascii="Arial" w:hAnsi="Arial" w:cs="Arial"/>
          <w:sz w:val="20"/>
          <w:szCs w:val="20"/>
        </w:rPr>
        <w:t>O</w:t>
      </w:r>
      <w:r w:rsidRPr="00D46669">
        <w:rPr>
          <w:rFonts w:ascii="Arial" w:hAnsi="Arial" w:cs="Arial"/>
          <w:sz w:val="20"/>
          <w:szCs w:val="20"/>
          <w:vertAlign w:val="subscript"/>
        </w:rPr>
        <w:t xml:space="preserve">2 </w:t>
      </w:r>
      <w:r w:rsidRPr="00D46669">
        <w:rPr>
          <w:rFonts w:ascii="Arial" w:hAnsi="Arial" w:cs="Arial"/>
          <w:sz w:val="20"/>
          <w:szCs w:val="20"/>
        </w:rPr>
        <w:t>razgrađenog po minuti po mililitru po miligramu proteina (M H</w:t>
      </w:r>
      <w:r w:rsidRPr="00D46669">
        <w:rPr>
          <w:rFonts w:ascii="Arial" w:hAnsi="Arial" w:cs="Arial"/>
          <w:sz w:val="20"/>
          <w:szCs w:val="20"/>
          <w:vertAlign w:val="subscript"/>
        </w:rPr>
        <w:t>2</w:t>
      </w:r>
      <w:r w:rsidRPr="00D46669">
        <w:rPr>
          <w:rFonts w:ascii="Arial" w:hAnsi="Arial" w:cs="Arial"/>
          <w:sz w:val="20"/>
          <w:szCs w:val="20"/>
        </w:rPr>
        <w:t>O</w:t>
      </w:r>
      <w:r w:rsidRPr="00D46669">
        <w:rPr>
          <w:rFonts w:ascii="Arial" w:hAnsi="Arial" w:cs="Arial"/>
          <w:sz w:val="20"/>
          <w:szCs w:val="20"/>
          <w:vertAlign w:val="subscript"/>
        </w:rPr>
        <w:t>2</w:t>
      </w:r>
      <w:r w:rsidRPr="00D46669">
        <w:rPr>
          <w:rFonts w:ascii="Arial" w:hAnsi="Arial" w:cs="Arial"/>
          <w:sz w:val="20"/>
          <w:szCs w:val="20"/>
        </w:rPr>
        <w:t xml:space="preserve">/min/mL/mg), a rezultati su prikazani kao srednja vrijednost </w:t>
      </w:r>
      <w:r w:rsidRPr="00D46669">
        <w:rPr>
          <w:rFonts w:ascii="Arial" w:hAnsi="Arial" w:cs="Arial"/>
          <w:color w:val="000000" w:themeColor="text1"/>
          <w:sz w:val="20"/>
          <w:szCs w:val="20"/>
        </w:rPr>
        <w:t>± standardna pogreška (SEM).</w:t>
      </w:r>
    </w:p>
    <w:p w14:paraId="65C79193" w14:textId="269FB003" w:rsidR="00627A8A" w:rsidRPr="00D46669" w:rsidRDefault="00627A8A" w:rsidP="00627A8A">
      <w:pPr>
        <w:pStyle w:val="ListParagraph"/>
        <w:numPr>
          <w:ilvl w:val="3"/>
          <w:numId w:val="8"/>
        </w:numPr>
        <w:spacing w:line="360" w:lineRule="auto"/>
        <w:jc w:val="both"/>
        <w:rPr>
          <w:rFonts w:ascii="Arial" w:hAnsi="Arial" w:cs="Arial"/>
          <w:i/>
          <w:sz w:val="20"/>
          <w:szCs w:val="20"/>
        </w:rPr>
      </w:pPr>
      <w:r w:rsidRPr="00D46669">
        <w:rPr>
          <w:rFonts w:ascii="Arial" w:hAnsi="Arial" w:cs="Arial"/>
          <w:i/>
          <w:sz w:val="20"/>
          <w:szCs w:val="20"/>
        </w:rPr>
        <w:t>Mjerenje ukupne količine reduciranog glutationa</w:t>
      </w:r>
    </w:p>
    <w:p w14:paraId="1D9B2DC1" w14:textId="1701B106" w:rsidR="009A0490" w:rsidRPr="00D46669" w:rsidRDefault="009A0490" w:rsidP="009A0490">
      <w:pPr>
        <w:spacing w:line="360" w:lineRule="auto"/>
        <w:jc w:val="both"/>
        <w:rPr>
          <w:rFonts w:ascii="Arial" w:hAnsi="Arial" w:cs="Arial"/>
          <w:sz w:val="20"/>
          <w:szCs w:val="20"/>
        </w:rPr>
      </w:pPr>
    </w:p>
    <w:p w14:paraId="5BE8EC29" w14:textId="77777777" w:rsidR="006143D1" w:rsidRDefault="009A0490" w:rsidP="009A0490">
      <w:pPr>
        <w:spacing w:line="360" w:lineRule="auto"/>
        <w:jc w:val="both"/>
        <w:rPr>
          <w:rFonts w:ascii="Arial" w:hAnsi="Arial" w:cs="Arial"/>
          <w:color w:val="000000" w:themeColor="text1"/>
          <w:sz w:val="20"/>
          <w:szCs w:val="20"/>
        </w:rPr>
      </w:pPr>
      <w:r w:rsidRPr="00D46669">
        <w:rPr>
          <w:rFonts w:ascii="Arial" w:hAnsi="Arial" w:cs="Arial"/>
          <w:color w:val="000000" w:themeColor="text1"/>
          <w:sz w:val="20"/>
          <w:szCs w:val="20"/>
        </w:rPr>
        <w:t xml:space="preserve">Esej za mjerenje količine reduciranog glutationa zasniva se na reakciji reduciranog glutationa i </w:t>
      </w:r>
      <w:r w:rsidRPr="00D46669">
        <w:rPr>
          <w:rFonts w:ascii="Arial" w:hAnsi="Arial" w:cs="Arial"/>
          <w:sz w:val="20"/>
          <w:szCs w:val="20"/>
        </w:rPr>
        <w:t xml:space="preserve">5,5′-ditiobis-(2-nitrobenzoat)-a (DTNB) u kojoj nastaju oksidirani glutation i 5-tio-2-nitrobenzoat (TNB) kojeg možemo izmjeriti kolorimetrijski. </w:t>
      </w:r>
      <w:r w:rsidRPr="00D46669">
        <w:rPr>
          <w:rFonts w:ascii="Arial" w:hAnsi="Arial" w:cs="Arial"/>
          <w:color w:val="000000" w:themeColor="text1"/>
          <w:sz w:val="20"/>
          <w:szCs w:val="20"/>
        </w:rPr>
        <w:t xml:space="preserve">Za mjerenje koristili smo metodu opisanu u </w:t>
      </w:r>
      <w:r w:rsidRPr="00D46669">
        <w:rPr>
          <w:rFonts w:ascii="Arial" w:hAnsi="Arial" w:cs="Arial"/>
          <w:color w:val="000000" w:themeColor="text1"/>
          <w:sz w:val="20"/>
          <w:szCs w:val="20"/>
        </w:rPr>
        <w:fldChar w:fldCharType="begin" w:fldLock="1"/>
      </w:r>
      <w:r w:rsidRPr="00D46669">
        <w:rPr>
          <w:rFonts w:ascii="Arial" w:hAnsi="Arial" w:cs="Arial"/>
          <w:color w:val="000000" w:themeColor="text1"/>
          <w:sz w:val="20"/>
          <w:szCs w:val="20"/>
        </w:rPr>
        <w:instrText>ADDIN CSL_CITATION { "citationItems" : [ { "id" : "ITEM-1", "itemData" : { "DOI" : "10.1002/jat.1775", "ISSN" : "0260437X", "PMID" : "22161306", "abstract" : "This study investigated the oxidative stress induced after acute oral treatment with 500, 1000 and 2000\u2009mg kg\u207b\u00b9 doses of Al\u2082O\u2083 -30 and -40\u2009nm and bulk Al\u2082O\u2083 in Wistar rats. Both the nanomaterials induced significant oxidative stress in a dose-dependent manner in comparison to the bulk. There was no significant difference between the two nanomaterials. However, the effect decreased with increase with time after treatment. The histopathological examination showed lesions only in liver with Al\u2082O\u2083 nanomaterials at 2000\u2009mg kg\u207b\u00b9.", "author" : [ { "dropping-particle" : "V.", "family" : "Prabhakar", "given" : "P.", "non-dropping-particle" : "", "parse-names" : false, "suffix" : "" }, { "dropping-particle" : "", "family" : "Reddy", "given" : "Utkarsh A.", "non-dropping-particle" : "", "parse-names" : false, "suffix" : "" }, { "dropping-particle" : "", "family" : "Singh", "given" : "S. P.", "non-dropping-particle" : "", "parse-names" : false, "suffix" : "" }, { "dropping-particle" : "", "family" : "Balasubramanyam", "given" : "A.", "non-dropping-particle" : "", "parse-names" : false, "suffix" : "" }, { "dropping-particle" : "", "family" : "Rahman", "given" : "M. F.", "non-dropping-particle" : "", "parse-names" : false, "suffix" : "" }, { "dropping-particle" : "", "family" : "Indu Kumari", "given" : "S.", "non-dropping-particle" : "", "parse-names" : false, "suffix" : "" }, { "dropping-particle" : "", "family" : "Agawane", "given" : "Sachin B.", "non-dropping-particle" : "", "parse-names" : false, "suffix" : "" }, { "dropping-particle" : "", "family" : "Murty", "given" : "U. S. N.", "non-dropping-particle" : "", "parse-names" : false, "suffix" : "" }, { "dropping-particle" : "", "family" : "Grover", "given" : "Paramjit", "non-dropping-particle" : "", "parse-names" : false, "suffix" : "" }, { "dropping-particle" : "", "family" : "Mahboob", "given" : "Mohammed", "non-dropping-particle" : "", "parse-names" : false, "suffix" : "" } ], "container-title" : "Journal of Applied Toxicology", "id" : "ITEM-1", "issue" : "6", "issued" : { "date-parts" : [ [ "2012", "6" ] ] }, "page" : "436-445", "title" : "Oxidative stress induced by aluminum oxide nanomaterials after acute oral treatment in Wistar rats", "type" : "article-journal", "volume" : "32" }, "uris" : [ "http://www.mendeley.com/documents/?uuid=26afe244-3a7b-3e54-b49c-6d7edc58cfbc" ] } ], "mendeley" : { "formattedCitation" : "(Prabhakar et al., 2012)", "plainTextFormattedCitation" : "(Prabhakar et al., 2012)", "previouslyFormattedCitation" : "(Prabhakar et al., 2012)" }, "properties" : {  }, "schema" : "https://github.com/citation-style-language/schema/raw/master/csl-citation.json" }</w:instrText>
      </w:r>
      <w:r w:rsidRPr="00D46669">
        <w:rPr>
          <w:rFonts w:ascii="Arial" w:hAnsi="Arial" w:cs="Arial"/>
          <w:color w:val="000000" w:themeColor="text1"/>
          <w:sz w:val="20"/>
          <w:szCs w:val="20"/>
        </w:rPr>
        <w:fldChar w:fldCharType="separate"/>
      </w:r>
      <w:r w:rsidRPr="00D46669">
        <w:rPr>
          <w:rFonts w:ascii="Arial" w:hAnsi="Arial" w:cs="Arial"/>
          <w:noProof/>
          <w:color w:val="000000" w:themeColor="text1"/>
          <w:sz w:val="20"/>
          <w:szCs w:val="20"/>
        </w:rPr>
        <w:t xml:space="preserve">(Prabhakar </w:t>
      </w:r>
      <w:r w:rsidR="00627A8A" w:rsidRPr="00D46669">
        <w:rPr>
          <w:rFonts w:ascii="Arial" w:hAnsi="Arial" w:cs="Arial"/>
          <w:noProof/>
          <w:color w:val="000000" w:themeColor="text1"/>
          <w:sz w:val="20"/>
          <w:szCs w:val="20"/>
        </w:rPr>
        <w:t>i sur.</w:t>
      </w:r>
      <w:r w:rsidRPr="00D46669">
        <w:rPr>
          <w:rFonts w:ascii="Arial" w:hAnsi="Arial" w:cs="Arial"/>
          <w:noProof/>
          <w:color w:val="000000" w:themeColor="text1"/>
          <w:sz w:val="20"/>
          <w:szCs w:val="20"/>
        </w:rPr>
        <w:t>, 2012)</w:t>
      </w:r>
      <w:r w:rsidRPr="00D46669">
        <w:rPr>
          <w:rFonts w:ascii="Arial" w:hAnsi="Arial" w:cs="Arial"/>
          <w:color w:val="000000" w:themeColor="text1"/>
          <w:sz w:val="20"/>
          <w:szCs w:val="20"/>
        </w:rPr>
        <w:fldChar w:fldCharType="end"/>
      </w:r>
      <w:r w:rsidRPr="00D46669">
        <w:rPr>
          <w:rFonts w:ascii="Arial" w:hAnsi="Arial" w:cs="Arial"/>
          <w:color w:val="000000" w:themeColor="text1"/>
          <w:sz w:val="20"/>
          <w:szCs w:val="20"/>
        </w:rPr>
        <w:t xml:space="preserve"> uz neke modifikacije. Ukratko, alikvot od </w:t>
      </w:r>
      <w:r w:rsidRPr="00D46669">
        <w:rPr>
          <w:rFonts w:ascii="Arial" w:hAnsi="Arial" w:cs="Arial"/>
          <w:sz w:val="20"/>
          <w:szCs w:val="20"/>
        </w:rPr>
        <w:t>100</w:t>
      </w:r>
      <w:r w:rsidRPr="00D46669">
        <w:rPr>
          <w:rFonts w:ascii="Arial" w:hAnsi="Arial" w:cs="Arial"/>
          <w:color w:val="FF0000"/>
          <w:sz w:val="20"/>
          <w:szCs w:val="20"/>
        </w:rPr>
        <w:t xml:space="preserve"> </w:t>
      </w:r>
      <w:r w:rsidRPr="00D46669">
        <w:rPr>
          <w:rFonts w:ascii="Arial" w:hAnsi="Arial" w:cs="Arial"/>
          <w:sz w:val="20"/>
          <w:szCs w:val="20"/>
        </w:rPr>
        <w:t>µL tkivno</w:t>
      </w:r>
      <w:r w:rsidR="00A03850">
        <w:rPr>
          <w:rFonts w:ascii="Arial" w:hAnsi="Arial" w:cs="Arial"/>
          <w:sz w:val="20"/>
          <w:szCs w:val="20"/>
        </w:rPr>
        <w:t>g homogenata inkubiran je u 100</w:t>
      </w:r>
      <w:r w:rsidR="00A03850" w:rsidRPr="00A03850">
        <w:rPr>
          <w:rFonts w:ascii="Arial" w:hAnsi="Arial" w:cs="Arial"/>
          <w:sz w:val="20"/>
          <w:szCs w:val="20"/>
        </w:rPr>
        <w:t xml:space="preserve"> </w:t>
      </w:r>
      <w:r w:rsidR="00A03850" w:rsidRPr="00C322F5">
        <w:rPr>
          <w:rFonts w:ascii="Arial" w:hAnsi="Arial" w:cs="Arial"/>
          <w:sz w:val="20"/>
          <w:szCs w:val="20"/>
        </w:rPr>
        <w:t>μL</w:t>
      </w:r>
      <w:r w:rsidR="00A03850" w:rsidRPr="00D46669">
        <w:rPr>
          <w:rFonts w:ascii="Arial" w:hAnsi="Arial" w:cs="Arial"/>
          <w:sz w:val="20"/>
          <w:szCs w:val="20"/>
        </w:rPr>
        <w:t xml:space="preserve"> </w:t>
      </w:r>
      <w:r w:rsidRPr="00D46669">
        <w:rPr>
          <w:rFonts w:ascii="Arial" w:hAnsi="Arial" w:cs="Arial"/>
          <w:sz w:val="20"/>
          <w:szCs w:val="20"/>
        </w:rPr>
        <w:t>4% sulfosalicilata</w:t>
      </w:r>
      <w:r w:rsidRPr="005208C9">
        <w:rPr>
          <w:rFonts w:ascii="Arial" w:hAnsi="Arial" w:cs="Arial"/>
          <w:sz w:val="20"/>
          <w:szCs w:val="20"/>
        </w:rPr>
        <w:t xml:space="preserve"> na ledu kroz 1 sat i centrifugiran na 10 000 okretaja 10 minuta. 150 µL supernatanta pomješano je s istim volumenom otopine DTNB (4mg/mL pripremljene u 5% otopini natrijevog citrata) i 1,2 mL </w:t>
      </w:r>
      <w:r w:rsidRPr="005208C9">
        <w:rPr>
          <w:rFonts w:ascii="Arial" w:hAnsi="Arial" w:cs="Arial"/>
          <w:color w:val="000000" w:themeColor="text1"/>
          <w:sz w:val="20"/>
          <w:szCs w:val="20"/>
        </w:rPr>
        <w:t>0.1M KPB pH 7.4. Spektrofotometrijska analiza provedena je na 412 nm. Rezultati su izraženi kao nM TNB po miligramu proteina i prikazani kao srednja vrijednost ± standardna po</w:t>
      </w:r>
      <w:r>
        <w:rPr>
          <w:rFonts w:ascii="Arial" w:hAnsi="Arial" w:cs="Arial"/>
          <w:color w:val="000000" w:themeColor="text1"/>
          <w:sz w:val="20"/>
          <w:szCs w:val="20"/>
        </w:rPr>
        <w:t>greška (SEM</w:t>
      </w:r>
      <w:r w:rsidRPr="005208C9">
        <w:rPr>
          <w:rFonts w:ascii="Arial" w:hAnsi="Arial" w:cs="Arial"/>
          <w:color w:val="000000" w:themeColor="text1"/>
          <w:sz w:val="20"/>
          <w:szCs w:val="20"/>
        </w:rPr>
        <w:t>).</w:t>
      </w:r>
    </w:p>
    <w:p w14:paraId="160F63E3" w14:textId="77777777" w:rsidR="006143D1" w:rsidRDefault="006143D1" w:rsidP="009A0490">
      <w:pPr>
        <w:spacing w:line="360" w:lineRule="auto"/>
        <w:jc w:val="both"/>
        <w:rPr>
          <w:rFonts w:ascii="Arial" w:hAnsi="Arial" w:cs="Arial"/>
          <w:color w:val="000000" w:themeColor="text1"/>
          <w:sz w:val="20"/>
          <w:szCs w:val="20"/>
        </w:rPr>
      </w:pPr>
    </w:p>
    <w:p w14:paraId="6537057A" w14:textId="7BD42EAC" w:rsidR="009A0490" w:rsidRDefault="009A0490" w:rsidP="009A0490">
      <w:pPr>
        <w:spacing w:line="360" w:lineRule="auto"/>
        <w:jc w:val="both"/>
        <w:rPr>
          <w:rFonts w:ascii="Arial" w:hAnsi="Arial" w:cs="Arial"/>
          <w:color w:val="000000" w:themeColor="text1"/>
          <w:sz w:val="20"/>
          <w:szCs w:val="20"/>
        </w:rPr>
      </w:pPr>
      <w:r w:rsidRPr="005208C9">
        <w:rPr>
          <w:rFonts w:ascii="Arial" w:hAnsi="Arial" w:cs="Arial"/>
          <w:color w:val="000000" w:themeColor="text1"/>
          <w:sz w:val="20"/>
          <w:szCs w:val="20"/>
        </w:rPr>
        <w:t xml:space="preserve"> </w:t>
      </w:r>
    </w:p>
    <w:p w14:paraId="76474953" w14:textId="30AD1633" w:rsidR="00E92C5B" w:rsidRPr="00E92C5B" w:rsidRDefault="00E92C5B" w:rsidP="00E92C5B">
      <w:pPr>
        <w:pStyle w:val="ListParagraph"/>
        <w:numPr>
          <w:ilvl w:val="3"/>
          <w:numId w:val="8"/>
        </w:numPr>
        <w:spacing w:line="360" w:lineRule="auto"/>
        <w:jc w:val="both"/>
        <w:rPr>
          <w:rFonts w:ascii="Arial" w:hAnsi="Arial" w:cs="Arial"/>
          <w:i/>
          <w:sz w:val="20"/>
          <w:szCs w:val="20"/>
        </w:rPr>
      </w:pPr>
      <w:r w:rsidRPr="00E92C5B">
        <w:rPr>
          <w:rFonts w:ascii="Arial" w:hAnsi="Arial" w:cs="Arial"/>
          <w:i/>
          <w:sz w:val="20"/>
          <w:szCs w:val="20"/>
        </w:rPr>
        <w:lastRenderedPageBreak/>
        <w:t xml:space="preserve">Mjerenje </w:t>
      </w:r>
      <w:r>
        <w:rPr>
          <w:rFonts w:ascii="Arial" w:hAnsi="Arial" w:cs="Arial"/>
          <w:i/>
          <w:sz w:val="20"/>
          <w:szCs w:val="20"/>
        </w:rPr>
        <w:t>lipidne peroksidacije</w:t>
      </w:r>
    </w:p>
    <w:p w14:paraId="5FCA7DC1" w14:textId="77777777" w:rsidR="00E92C5B" w:rsidRPr="005208C9" w:rsidRDefault="00E92C5B" w:rsidP="009A0490">
      <w:pPr>
        <w:spacing w:line="360" w:lineRule="auto"/>
        <w:jc w:val="both"/>
        <w:rPr>
          <w:rFonts w:ascii="Arial" w:hAnsi="Arial" w:cs="Arial"/>
          <w:sz w:val="20"/>
          <w:szCs w:val="20"/>
        </w:rPr>
      </w:pPr>
    </w:p>
    <w:p w14:paraId="7230F16C" w14:textId="09778414" w:rsidR="009A0490" w:rsidRPr="00D46669" w:rsidRDefault="009A0490" w:rsidP="009A0490">
      <w:pPr>
        <w:spacing w:line="360" w:lineRule="auto"/>
        <w:jc w:val="both"/>
        <w:rPr>
          <w:rFonts w:ascii="Arial" w:hAnsi="Arial" w:cs="Arial"/>
          <w:color w:val="000000" w:themeColor="text1"/>
          <w:sz w:val="20"/>
          <w:szCs w:val="20"/>
        </w:rPr>
      </w:pPr>
      <w:r w:rsidRPr="005208C9">
        <w:rPr>
          <w:rFonts w:ascii="Arial" w:hAnsi="Arial" w:cs="Arial"/>
          <w:color w:val="000000" w:themeColor="text1"/>
          <w:sz w:val="20"/>
          <w:szCs w:val="20"/>
        </w:rPr>
        <w:t xml:space="preserve">Količina malondialdehida (MDA), konačnog produkta lipidne peroksidacije izmjerena je metodom </w:t>
      </w:r>
      <w:r w:rsidRPr="00D46669">
        <w:rPr>
          <w:rFonts w:ascii="Arial" w:hAnsi="Arial" w:cs="Arial"/>
          <w:color w:val="000000" w:themeColor="text1"/>
          <w:sz w:val="20"/>
          <w:szCs w:val="20"/>
        </w:rPr>
        <w:t xml:space="preserve">opisanom u </w:t>
      </w:r>
      <w:r w:rsidRPr="00D46669">
        <w:rPr>
          <w:rFonts w:ascii="Arial" w:hAnsi="Arial" w:cs="Arial"/>
          <w:color w:val="000000" w:themeColor="text1"/>
          <w:sz w:val="20"/>
          <w:szCs w:val="20"/>
        </w:rPr>
        <w:fldChar w:fldCharType="begin" w:fldLock="1"/>
      </w:r>
      <w:r w:rsidRPr="00D46669">
        <w:rPr>
          <w:rFonts w:ascii="Arial" w:hAnsi="Arial" w:cs="Arial"/>
          <w:color w:val="000000" w:themeColor="text1"/>
          <w:sz w:val="20"/>
          <w:szCs w:val="20"/>
        </w:rPr>
        <w:instrText>ADDIN CSL_CITATION { "citationItems" : [ { "id" : "ITEM-1", "itemData" : { "DOI" : "10.1002/jat.1775", "ISSN" : "0260437X", "PMID" : "22161306", "abstract" : "This study investigated the oxidative stress induced after acute oral treatment with 500, 1000 and 2000\u2009mg kg\u207b\u00b9 doses of Al\u2082O\u2083 -30 and -40\u2009nm and bulk Al\u2082O\u2083 in Wistar rats. Both the nanomaterials induced significant oxidative stress in a dose-dependent manner in comparison to the bulk. There was no significant difference between the two nanomaterials. However, the effect decreased with increase with time after treatment. The histopathological examination showed lesions only in liver with Al\u2082O\u2083 nanomaterials at 2000\u2009mg kg\u207b\u00b9.", "author" : [ { "dropping-particle" : "V.", "family" : "Prabhakar", "given" : "P.", "non-dropping-particle" : "", "parse-names" : false, "suffix" : "" }, { "dropping-particle" : "", "family" : "Reddy", "given" : "Utkarsh A.", "non-dropping-particle" : "", "parse-names" : false, "suffix" : "" }, { "dropping-particle" : "", "family" : "Singh", "given" : "S. P.", "non-dropping-particle" : "", "parse-names" : false, "suffix" : "" }, { "dropping-particle" : "", "family" : "Balasubramanyam", "given" : "A.", "non-dropping-particle" : "", "parse-names" : false, "suffix" : "" }, { "dropping-particle" : "", "family" : "Rahman", "given" : "M. F.", "non-dropping-particle" : "", "parse-names" : false, "suffix" : "" }, { "dropping-particle" : "", "family" : "Indu Kumari", "given" : "S.", "non-dropping-particle" : "", "parse-names" : false, "suffix" : "" }, { "dropping-particle" : "", "family" : "Agawane", "given" : "Sachin B.", "non-dropping-particle" : "", "parse-names" : false, "suffix" : "" }, { "dropping-particle" : "", "family" : "Murty", "given" : "U. S. N.", "non-dropping-particle" : "", "parse-names" : false, "suffix" : "" }, { "dropping-particle" : "", "family" : "Grover", "given" : "Paramjit", "non-dropping-particle" : "", "parse-names" : false, "suffix" : "" }, { "dropping-particle" : "", "family" : "Mahboob", "given" : "Mohammed", "non-dropping-particle" : "", "parse-names" : false, "suffix" : "" } ], "container-title" : "Journal of Applied Toxicology", "id" : "ITEM-1", "issue" : "6", "issued" : { "date-parts" : [ [ "2012", "6" ] ] }, "page" : "436-445", "title" : "Oxidative stress induced by aluminum oxide nanomaterials after acute oral treatment in Wistar rats", "type" : "article-journal", "volume" : "32" }, "uris" : [ "http://www.mendeley.com/documents/?uuid=26afe244-3a7b-3e54-b49c-6d7edc58cfbc" ] } ], "mendeley" : { "formattedCitation" : "(Prabhakar et al., 2012)", "plainTextFormattedCitation" : "(Prabhakar et al., 2012)", "previouslyFormattedCitation" : "(Prabhakar et al., 2012)" }, "properties" : {  }, "schema" : "https://github.com/citation-style-language/schema/raw/master/csl-citation.json" }</w:instrText>
      </w:r>
      <w:r w:rsidRPr="00D46669">
        <w:rPr>
          <w:rFonts w:ascii="Arial" w:hAnsi="Arial" w:cs="Arial"/>
          <w:color w:val="000000" w:themeColor="text1"/>
          <w:sz w:val="20"/>
          <w:szCs w:val="20"/>
        </w:rPr>
        <w:fldChar w:fldCharType="separate"/>
      </w:r>
      <w:r w:rsidRPr="00D46669">
        <w:rPr>
          <w:rFonts w:ascii="Arial" w:hAnsi="Arial" w:cs="Arial"/>
          <w:noProof/>
          <w:color w:val="000000" w:themeColor="text1"/>
          <w:sz w:val="20"/>
          <w:szCs w:val="20"/>
        </w:rPr>
        <w:t xml:space="preserve">(Prabhakar </w:t>
      </w:r>
      <w:r w:rsidR="00E92C5B" w:rsidRPr="00D46669">
        <w:rPr>
          <w:rFonts w:ascii="Arial" w:hAnsi="Arial" w:cs="Arial"/>
          <w:noProof/>
          <w:color w:val="000000" w:themeColor="text1"/>
          <w:sz w:val="20"/>
          <w:szCs w:val="20"/>
        </w:rPr>
        <w:t>i sur</w:t>
      </w:r>
      <w:r w:rsidRPr="00D46669">
        <w:rPr>
          <w:rFonts w:ascii="Arial" w:hAnsi="Arial" w:cs="Arial"/>
          <w:noProof/>
          <w:color w:val="000000" w:themeColor="text1"/>
          <w:sz w:val="20"/>
          <w:szCs w:val="20"/>
        </w:rPr>
        <w:t>., 2012)</w:t>
      </w:r>
      <w:r w:rsidRPr="00D46669">
        <w:rPr>
          <w:rFonts w:ascii="Arial" w:hAnsi="Arial" w:cs="Arial"/>
          <w:color w:val="000000" w:themeColor="text1"/>
          <w:sz w:val="20"/>
          <w:szCs w:val="20"/>
        </w:rPr>
        <w:fldChar w:fldCharType="end"/>
      </w:r>
      <w:r w:rsidRPr="00D46669">
        <w:rPr>
          <w:rFonts w:ascii="Arial" w:hAnsi="Arial" w:cs="Arial"/>
          <w:color w:val="000000" w:themeColor="text1"/>
          <w:sz w:val="20"/>
          <w:szCs w:val="20"/>
        </w:rPr>
        <w:t xml:space="preserve"> uz neke modifikacije. 180</w:t>
      </w:r>
      <w:r w:rsidR="00A03850" w:rsidRPr="00A03850">
        <w:rPr>
          <w:rFonts w:ascii="Arial" w:hAnsi="Arial" w:cs="Arial"/>
          <w:sz w:val="20"/>
          <w:szCs w:val="20"/>
        </w:rPr>
        <w:t xml:space="preserve"> </w:t>
      </w:r>
      <w:r w:rsidR="00A03850" w:rsidRPr="00C322F5">
        <w:rPr>
          <w:rFonts w:ascii="Arial" w:hAnsi="Arial" w:cs="Arial"/>
          <w:sz w:val="20"/>
          <w:szCs w:val="20"/>
        </w:rPr>
        <w:t>μL</w:t>
      </w:r>
      <w:r w:rsidRPr="00D46669">
        <w:rPr>
          <w:rFonts w:ascii="Arial" w:hAnsi="Arial" w:cs="Arial"/>
          <w:color w:val="000000" w:themeColor="text1"/>
          <w:sz w:val="20"/>
          <w:szCs w:val="20"/>
        </w:rPr>
        <w:t xml:space="preserve"> alikvota tkivnog homogenata pomiješano je s 2mL 0.375% tiobarbituratne kiseline u 15% otopini trikloracetata</w:t>
      </w:r>
      <w:r w:rsidR="00A03850">
        <w:rPr>
          <w:rFonts w:ascii="Arial" w:hAnsi="Arial" w:cs="Arial"/>
          <w:color w:val="000000" w:themeColor="text1"/>
          <w:sz w:val="20"/>
          <w:szCs w:val="20"/>
        </w:rPr>
        <w:t>. U svaki uzorak dodano je 820</w:t>
      </w:r>
      <w:r w:rsidR="00A03850" w:rsidRPr="00A03850">
        <w:rPr>
          <w:rFonts w:ascii="Arial" w:hAnsi="Arial" w:cs="Arial"/>
          <w:sz w:val="20"/>
          <w:szCs w:val="20"/>
        </w:rPr>
        <w:t xml:space="preserve"> </w:t>
      </w:r>
      <w:r w:rsidR="00A03850" w:rsidRPr="00C322F5">
        <w:rPr>
          <w:rFonts w:ascii="Arial" w:hAnsi="Arial" w:cs="Arial"/>
          <w:sz w:val="20"/>
          <w:szCs w:val="20"/>
        </w:rPr>
        <w:t>μL</w:t>
      </w:r>
      <w:r w:rsidRPr="00D46669">
        <w:rPr>
          <w:rFonts w:ascii="Arial" w:hAnsi="Arial" w:cs="Arial"/>
          <w:color w:val="000000" w:themeColor="text1"/>
          <w:sz w:val="20"/>
          <w:szCs w:val="20"/>
        </w:rPr>
        <w:t xml:space="preserve"> destilirane vode nakon čega su na 20 minuta ostavljeni u vodenoj kupelji na 95°C. Uzorci su ohlađeni pod tekućom vodom nakon čega je komples TBA-MDA ekstrahiran miješanjem tijekom 30 minuta dodavanjem 2mL n-butanola. Uzorci su centrifugirani na 5000 okretaja tijekom 10 minuta i apsorbancija kompleksa analizirana je u izdvojenoj frakciji n-butanola na 532 nm. Količina MDA izračunata je korištenjem molarnog ekstinkcijskog koeficijenta od 1.56  10</w:t>
      </w:r>
      <w:r w:rsidRPr="00D46669">
        <w:rPr>
          <w:rFonts w:ascii="Arial" w:hAnsi="Arial" w:cs="Arial"/>
          <w:color w:val="000000" w:themeColor="text1"/>
          <w:sz w:val="20"/>
          <w:szCs w:val="20"/>
          <w:vertAlign w:val="superscript"/>
        </w:rPr>
        <w:t>5</w:t>
      </w:r>
      <w:r w:rsidRPr="00D46669">
        <w:rPr>
          <w:rFonts w:ascii="Arial" w:hAnsi="Arial" w:cs="Arial"/>
          <w:color w:val="000000" w:themeColor="text1"/>
          <w:sz w:val="20"/>
          <w:szCs w:val="20"/>
        </w:rPr>
        <w:t xml:space="preserve"> M</w:t>
      </w:r>
      <w:r w:rsidRPr="00D46669">
        <w:rPr>
          <w:rFonts w:ascii="Arial" w:hAnsi="Arial" w:cs="Arial"/>
          <w:color w:val="000000" w:themeColor="text1"/>
          <w:sz w:val="20"/>
          <w:szCs w:val="20"/>
          <w:vertAlign w:val="superscript"/>
        </w:rPr>
        <w:t>-1</w:t>
      </w:r>
      <w:r w:rsidRPr="00D46669">
        <w:rPr>
          <w:rFonts w:ascii="Arial" w:hAnsi="Arial" w:cs="Arial"/>
          <w:color w:val="000000" w:themeColor="text1"/>
          <w:sz w:val="20"/>
          <w:szCs w:val="20"/>
        </w:rPr>
        <w:t>cm</w:t>
      </w:r>
      <w:r w:rsidRPr="00D46669">
        <w:rPr>
          <w:rFonts w:ascii="Arial" w:hAnsi="Arial" w:cs="Arial"/>
          <w:color w:val="000000" w:themeColor="text1"/>
          <w:sz w:val="20"/>
          <w:szCs w:val="20"/>
          <w:vertAlign w:val="superscript"/>
        </w:rPr>
        <w:t>-1</w:t>
      </w:r>
      <w:r w:rsidRPr="00D46669">
        <w:rPr>
          <w:rFonts w:ascii="Arial" w:hAnsi="Arial" w:cs="Arial"/>
          <w:color w:val="000000" w:themeColor="text1"/>
          <w:sz w:val="20"/>
          <w:szCs w:val="20"/>
        </w:rPr>
        <w:t>. Rezultati su izraženi kao nM MDA po miligramu proteina i prikazani kao srednja vrijednost ± standardna pogreška (SEM).</w:t>
      </w:r>
    </w:p>
    <w:p w14:paraId="687FCFA3" w14:textId="6608C8BE" w:rsidR="00E92C5B" w:rsidRPr="00D46669" w:rsidRDefault="00E92C5B" w:rsidP="003003EE">
      <w:pPr>
        <w:pStyle w:val="Heading3"/>
        <w:numPr>
          <w:ilvl w:val="2"/>
          <w:numId w:val="8"/>
        </w:numPr>
        <w:spacing w:line="360" w:lineRule="auto"/>
        <w:jc w:val="both"/>
        <w:rPr>
          <w:rFonts w:ascii="Arial" w:hAnsi="Arial" w:cs="Arial"/>
          <w:color w:val="000000" w:themeColor="text1"/>
          <w:sz w:val="20"/>
          <w:szCs w:val="20"/>
        </w:rPr>
      </w:pPr>
      <w:r w:rsidRPr="00D46669">
        <w:rPr>
          <w:rFonts w:ascii="Arial" w:hAnsi="Arial" w:cs="Arial"/>
          <w:color w:val="auto"/>
        </w:rPr>
        <w:t xml:space="preserve">Statistička analiza </w:t>
      </w:r>
    </w:p>
    <w:p w14:paraId="01859883" w14:textId="7C4658A3" w:rsidR="002A3978" w:rsidRPr="00D46669" w:rsidRDefault="009A0490" w:rsidP="009A0490">
      <w:pPr>
        <w:spacing w:line="360" w:lineRule="auto"/>
        <w:jc w:val="both"/>
        <w:rPr>
          <w:rFonts w:ascii="Arial" w:hAnsi="Arial" w:cs="Arial"/>
          <w:sz w:val="20"/>
          <w:szCs w:val="20"/>
        </w:rPr>
      </w:pPr>
      <w:r w:rsidRPr="00D46669">
        <w:rPr>
          <w:rFonts w:ascii="Arial" w:hAnsi="Arial" w:cs="Arial"/>
          <w:sz w:val="20"/>
          <w:szCs w:val="20"/>
        </w:rPr>
        <w:br/>
        <w:t xml:space="preserve">Statistička analiza provedena je Kruskal-Wallis ANOVA median testom za istovremenu usporedbu više od dvije grupe te Mann-Whitney U-testom za usporedbu dvije grupe, uz odabranu razinu značajnosti *p &lt; 0,05; **p&lt;0,01.  </w:t>
      </w:r>
      <w:bookmarkStart w:id="12" w:name="_Toc386475791"/>
    </w:p>
    <w:p w14:paraId="2A7FA936" w14:textId="7A970D6D" w:rsidR="00C84762" w:rsidRPr="00A03850" w:rsidRDefault="00C84762" w:rsidP="00C84762">
      <w:pPr>
        <w:pStyle w:val="ListParagraph"/>
        <w:numPr>
          <w:ilvl w:val="0"/>
          <w:numId w:val="8"/>
        </w:numPr>
        <w:spacing w:line="360" w:lineRule="auto"/>
        <w:outlineLvl w:val="1"/>
        <w:rPr>
          <w:rFonts w:ascii="Arial" w:hAnsi="Arial" w:cs="Arial"/>
          <w:b/>
          <w:color w:val="000000"/>
          <w:shd w:val="clear" w:color="auto" w:fill="FFFFFF"/>
        </w:rPr>
      </w:pPr>
      <w:r w:rsidRPr="00A03850">
        <w:rPr>
          <w:rFonts w:ascii="Arial" w:hAnsi="Arial" w:cs="Arial"/>
          <w:b/>
        </w:rPr>
        <w:t xml:space="preserve">REZULTATI </w:t>
      </w:r>
    </w:p>
    <w:bookmarkEnd w:id="12"/>
    <w:p w14:paraId="30A1F538" w14:textId="3E0EC234" w:rsidR="00C4664C" w:rsidRPr="00D46669" w:rsidRDefault="00C4664C" w:rsidP="00C4664C">
      <w:pPr>
        <w:pStyle w:val="ListParagraph"/>
        <w:numPr>
          <w:ilvl w:val="1"/>
          <w:numId w:val="8"/>
        </w:numPr>
        <w:tabs>
          <w:tab w:val="left" w:pos="993"/>
        </w:tabs>
        <w:spacing w:line="360" w:lineRule="auto"/>
        <w:outlineLvl w:val="1"/>
        <w:rPr>
          <w:rFonts w:ascii="Arial" w:hAnsi="Arial" w:cs="Arial"/>
          <w:b/>
          <w:color w:val="000000"/>
          <w:shd w:val="clear" w:color="auto" w:fill="FFFFFF"/>
        </w:rPr>
      </w:pPr>
      <w:r w:rsidRPr="00D46669">
        <w:rPr>
          <w:rFonts w:ascii="Arial" w:hAnsi="Arial" w:cs="Arial"/>
          <w:b/>
          <w:color w:val="000000"/>
          <w:shd w:val="clear" w:color="auto" w:fill="FFFFFF"/>
        </w:rPr>
        <w:t xml:space="preserve">Akutni učinak STZ-icv na biokemijske promjene u DMNX štakora </w:t>
      </w:r>
    </w:p>
    <w:p w14:paraId="070790D2" w14:textId="77777777" w:rsidR="00C4664C" w:rsidRPr="00D46669" w:rsidRDefault="00C4664C" w:rsidP="005208C9">
      <w:pPr>
        <w:spacing w:line="360" w:lineRule="auto"/>
        <w:rPr>
          <w:rFonts w:ascii="Arial" w:hAnsi="Arial" w:cs="Arial"/>
          <w:sz w:val="20"/>
          <w:szCs w:val="20"/>
        </w:rPr>
      </w:pPr>
    </w:p>
    <w:p w14:paraId="1E454220" w14:textId="1C67C85C" w:rsidR="00183272" w:rsidRDefault="00C5686C" w:rsidP="00A03850">
      <w:pPr>
        <w:spacing w:line="360" w:lineRule="auto"/>
        <w:jc w:val="both"/>
        <w:rPr>
          <w:rFonts w:ascii="Arial" w:hAnsi="Arial" w:cs="Arial"/>
          <w:sz w:val="20"/>
          <w:szCs w:val="20"/>
        </w:rPr>
      </w:pPr>
      <w:r w:rsidRPr="00D46669">
        <w:rPr>
          <w:rFonts w:ascii="Arial" w:hAnsi="Arial" w:cs="Arial"/>
          <w:sz w:val="20"/>
          <w:szCs w:val="20"/>
        </w:rPr>
        <w:t>Akutna administracija STZ-icv uzrokuje trenutne promjene u mozgu štakora</w:t>
      </w:r>
      <w:r w:rsidR="00AB3C24" w:rsidRPr="00D46669">
        <w:rPr>
          <w:rFonts w:ascii="Arial" w:hAnsi="Arial" w:cs="Arial"/>
          <w:sz w:val="20"/>
          <w:szCs w:val="20"/>
        </w:rPr>
        <w:t xml:space="preserve"> </w:t>
      </w:r>
      <w:r w:rsidRPr="00D46669">
        <w:rPr>
          <w:rFonts w:ascii="Arial" w:hAnsi="Arial" w:cs="Arial"/>
          <w:sz w:val="20"/>
          <w:szCs w:val="20"/>
        </w:rPr>
        <w:fldChar w:fldCharType="begin" w:fldLock="1"/>
      </w:r>
      <w:r w:rsidR="000F476E" w:rsidRPr="00D46669">
        <w:rPr>
          <w:rFonts w:ascii="Arial" w:hAnsi="Arial" w:cs="Arial"/>
          <w:sz w:val="20"/>
          <w:szCs w:val="20"/>
        </w:rPr>
        <w:instrText>ADDIN CSL_CITATION { "citationItems" : [ { "id" : "ITEM-1", "itemData" : { "DOI" : "10.1007/s00702-017-1727-6", "ISSN" : "0300-9564", "PMID" : "28470423", "abstract" : "Accumulated evidence suggests that the insulin-resistant brain state and cerebral glucose hypometabolism might be the cause, rather than the consequence, of the neurodegeneration found in a sporadic Alzheimer's disease (sAD). We have explored whether the insulin receptor (IR) and the glucose transporter-2 (GLUT2), used here as their markers, are the early targets of intracerebroventricularly (icv) administered streptozotocin (STZ) in an STZ-icv rat model of sAD, and whether their changes are associated with the STZ-induced neuroinflammation. The expression of IR, GLUT2 and glial fibrillary acidic protein (GFAP) was measured by immunofluorescence and western blot analysis in the parietal (PC) and the temporal (TC) cortex, in the hippocampus (HPC) and the hypothalamus. One hour after the STZ-icv administration (1.5\u00a0mg/kg), the GFAP immunoreactivity was significantly increased in all four regions, thus indicating the wide spread neuroinflammation, pronounced in the PC and the HPC. Changes in the GLUT2 (increment) and the IR (decrement) expression were mild in the areas close to the site of the STZ injection/release but pronounced in the ependymal lining cells of the third ventricle, thus indicating the possible metabolic implications. These results, together with the finding of the GLUT2-IR co-expression, and also the neuronal IR expression in PC, TC and HPC, indicate that the cerebral GLUT2 and IR should be further explored as the possible sAD etiopathogenic factors. It should be further clarified whether their alterations are the effect of a direct STZ-icv toxicity or they are triggered in a response to STZ-icv induced neuroinflammation.", "author" : [ { "dropping-particle" : "", "family" : "Knezovic", "given" : "A.", "non-dropping-particle" : "", "parse-names" : false, "suffix" : "" }, { "dropping-particle" : "", "family" : "Loncar", "given" : "A.", "non-dropping-particle" : "", "parse-names" : false, "suffix" : "" }, { "dropping-particle" : "", "family" : "Homolak", "given" : "J.", "non-dropping-particle" : "", "parse-names" : false, "suffix" : "" }, { "dropping-particle" : "", "family" : "Smailovic", "given" : "U.", "non-dropping-particle" : "", "parse-names" : false, "suffix" : "" }, { "dropping-particle" : "", "family" : "Osmanovic Barilar", "given" : "J.", "non-dropping-particle" : "", "parse-names" : false, "suffix" : "" }, { "dropping-particle" : "", "family" : "Ganoci", "given" : "L.", "non-dropping-particle" : "", "parse-names" : false, "suffix" : "" }, { "dropping-particle" : "", "family" : "Bozina", "given" : "N.", "non-dropping-particle" : "", "parse-names" : false, "suffix" : "" }, { "dropping-particle" : "", "family" : "Riederer", "given" : "P.", "non-dropping-particle" : "", "parse-names" : false, "suffix" : "" }, { "dropping-particle" : "", "family" : "Salkovic-Petrisic", "given" : "Melita", "non-dropping-particle" : "", "parse-names" : false, "suffix" : "" } ], "container-title" : "Journal of Neural Transmission", "id" : "ITEM-1", "issue" : "6", "issued" : { "date-parts" : [ [ "2017", "6", "3" ] ] }, "page" : "695-708", "title" : "Rat brain glucose transporter-2, insulin receptor and glial expression are acute targets of intracerebroventricular streptozotocin: risk factors for sporadic Alzheimer?s disease?", "type" : "article-journal", "volume" : "124" }, "uris" : [ "http://www.mendeley.com/documents/?uuid=6c9cee87-c457-39b8-bd71-7050f59e72a4" ] } ], "mendeley" : { "formattedCitation" : "(A. Knezovic et al., 2017)", "plainTextFormattedCitation" : "(A. Knezovic et al., 2017)", "previouslyFormattedCitation" : "(A. Knezovic et al., 2017)" }, "properties" : {  }, "schema" : "https://github.com/citation-style-language/schema/raw/master/csl-citation.json" }</w:instrText>
      </w:r>
      <w:r w:rsidRPr="00D46669">
        <w:rPr>
          <w:rFonts w:ascii="Arial" w:hAnsi="Arial" w:cs="Arial"/>
          <w:sz w:val="20"/>
          <w:szCs w:val="20"/>
        </w:rPr>
        <w:fldChar w:fldCharType="separate"/>
      </w:r>
      <w:r w:rsidR="00C4664C" w:rsidRPr="00D46669">
        <w:rPr>
          <w:rFonts w:ascii="Arial" w:hAnsi="Arial" w:cs="Arial"/>
          <w:noProof/>
          <w:sz w:val="20"/>
          <w:szCs w:val="20"/>
        </w:rPr>
        <w:t>(</w:t>
      </w:r>
      <w:r w:rsidR="00A03850">
        <w:rPr>
          <w:rFonts w:ascii="Arial" w:hAnsi="Arial" w:cs="Arial"/>
          <w:noProof/>
          <w:sz w:val="20"/>
          <w:szCs w:val="20"/>
        </w:rPr>
        <w:t>Knezović</w:t>
      </w:r>
      <w:r w:rsidR="000F476E" w:rsidRPr="00D46669">
        <w:rPr>
          <w:rFonts w:ascii="Arial" w:hAnsi="Arial" w:cs="Arial"/>
          <w:noProof/>
          <w:sz w:val="20"/>
          <w:szCs w:val="20"/>
        </w:rPr>
        <w:t xml:space="preserve"> </w:t>
      </w:r>
      <w:r w:rsidR="00C4664C" w:rsidRPr="00D46669">
        <w:rPr>
          <w:rFonts w:ascii="Arial" w:hAnsi="Arial" w:cs="Arial"/>
          <w:noProof/>
          <w:sz w:val="20"/>
          <w:szCs w:val="20"/>
        </w:rPr>
        <w:t>i sur</w:t>
      </w:r>
      <w:r w:rsidR="000F476E" w:rsidRPr="00D46669">
        <w:rPr>
          <w:rFonts w:ascii="Arial" w:hAnsi="Arial" w:cs="Arial"/>
          <w:noProof/>
          <w:sz w:val="20"/>
          <w:szCs w:val="20"/>
        </w:rPr>
        <w:t>., 2017)</w:t>
      </w:r>
      <w:r w:rsidRPr="00D46669">
        <w:rPr>
          <w:rFonts w:ascii="Arial" w:hAnsi="Arial" w:cs="Arial"/>
          <w:sz w:val="20"/>
          <w:szCs w:val="20"/>
        </w:rPr>
        <w:fldChar w:fldCharType="end"/>
      </w:r>
      <w:r w:rsidRPr="00D46669">
        <w:rPr>
          <w:rFonts w:ascii="Arial" w:hAnsi="Arial" w:cs="Arial"/>
          <w:sz w:val="20"/>
          <w:szCs w:val="20"/>
        </w:rPr>
        <w:t xml:space="preserve">, ali nije poznato uzrokuje li promjene u jezgrama moždanog debla. </w:t>
      </w:r>
      <w:r w:rsidR="00124310" w:rsidRPr="00D46669">
        <w:rPr>
          <w:rFonts w:ascii="Arial" w:hAnsi="Arial" w:cs="Arial"/>
          <w:sz w:val="20"/>
          <w:szCs w:val="20"/>
        </w:rPr>
        <w:t>Ispit</w:t>
      </w:r>
      <w:r w:rsidR="00183272" w:rsidRPr="00D46669">
        <w:rPr>
          <w:rFonts w:ascii="Arial" w:hAnsi="Arial" w:cs="Arial"/>
          <w:sz w:val="20"/>
          <w:szCs w:val="20"/>
        </w:rPr>
        <w:t>an je učinak akutne primjene STZ</w:t>
      </w:r>
      <w:r w:rsidR="003313F4" w:rsidRPr="00D46669">
        <w:rPr>
          <w:rFonts w:ascii="Arial" w:hAnsi="Arial" w:cs="Arial"/>
          <w:sz w:val="20"/>
          <w:szCs w:val="20"/>
        </w:rPr>
        <w:t>-</w:t>
      </w:r>
      <w:r w:rsidR="003313F4" w:rsidRPr="005208C9">
        <w:rPr>
          <w:rFonts w:ascii="Arial" w:hAnsi="Arial" w:cs="Arial"/>
          <w:sz w:val="20"/>
          <w:szCs w:val="20"/>
        </w:rPr>
        <w:t>icv</w:t>
      </w:r>
      <w:r w:rsidR="00124310" w:rsidRPr="005208C9">
        <w:rPr>
          <w:rFonts w:ascii="Arial" w:hAnsi="Arial" w:cs="Arial"/>
          <w:sz w:val="20"/>
          <w:szCs w:val="20"/>
        </w:rPr>
        <w:t xml:space="preserve"> na</w:t>
      </w:r>
      <w:r w:rsidR="003313F4" w:rsidRPr="005208C9">
        <w:rPr>
          <w:rFonts w:ascii="Arial" w:hAnsi="Arial" w:cs="Arial"/>
          <w:sz w:val="20"/>
          <w:szCs w:val="20"/>
        </w:rPr>
        <w:t xml:space="preserve"> ekspres</w:t>
      </w:r>
      <w:r w:rsidR="002A3978" w:rsidRPr="005208C9">
        <w:rPr>
          <w:rFonts w:ascii="Arial" w:hAnsi="Arial" w:cs="Arial"/>
          <w:sz w:val="20"/>
          <w:szCs w:val="20"/>
        </w:rPr>
        <w:t>iju proteina povezanih s neposrednom</w:t>
      </w:r>
      <w:r w:rsidR="003313F4" w:rsidRPr="005208C9">
        <w:rPr>
          <w:rFonts w:ascii="Arial" w:hAnsi="Arial" w:cs="Arial"/>
          <w:sz w:val="20"/>
          <w:szCs w:val="20"/>
        </w:rPr>
        <w:t xml:space="preserve"> aktivnosti neurona (c-fos), aktivnosti mTOR sustava (p-P70S6K) i </w:t>
      </w:r>
      <w:r w:rsidR="00CF7D85" w:rsidRPr="005208C9">
        <w:rPr>
          <w:rFonts w:ascii="Arial" w:hAnsi="Arial" w:cs="Arial"/>
          <w:sz w:val="20"/>
          <w:szCs w:val="20"/>
        </w:rPr>
        <w:t>autofagije</w:t>
      </w:r>
      <w:r w:rsidR="003313F4" w:rsidRPr="005208C9">
        <w:rPr>
          <w:rFonts w:ascii="Arial" w:hAnsi="Arial" w:cs="Arial"/>
          <w:sz w:val="20"/>
          <w:szCs w:val="20"/>
        </w:rPr>
        <w:t xml:space="preserve"> (p-ULK1) te neuro</w:t>
      </w:r>
      <w:r w:rsidR="00CF7D85" w:rsidRPr="005208C9">
        <w:rPr>
          <w:rFonts w:ascii="Arial" w:hAnsi="Arial" w:cs="Arial"/>
          <w:sz w:val="20"/>
          <w:szCs w:val="20"/>
        </w:rPr>
        <w:t>-upalnim</w:t>
      </w:r>
      <w:r w:rsidR="003313F4" w:rsidRPr="005208C9">
        <w:rPr>
          <w:rFonts w:ascii="Arial" w:hAnsi="Arial" w:cs="Arial"/>
          <w:sz w:val="20"/>
          <w:szCs w:val="20"/>
        </w:rPr>
        <w:t xml:space="preserve"> odgovor</w:t>
      </w:r>
      <w:r w:rsidR="00CF7D85" w:rsidRPr="005208C9">
        <w:rPr>
          <w:rFonts w:ascii="Arial" w:hAnsi="Arial" w:cs="Arial"/>
          <w:sz w:val="20"/>
          <w:szCs w:val="20"/>
        </w:rPr>
        <w:t>om (GFAP).</w:t>
      </w:r>
      <w:r w:rsidR="003313F4" w:rsidRPr="005208C9">
        <w:rPr>
          <w:rFonts w:ascii="Arial" w:hAnsi="Arial" w:cs="Arial"/>
          <w:sz w:val="20"/>
          <w:szCs w:val="20"/>
        </w:rPr>
        <w:t xml:space="preserve"> </w:t>
      </w:r>
    </w:p>
    <w:p w14:paraId="497CD642" w14:textId="1A8F328C" w:rsidR="00C4664C" w:rsidRPr="00A03850" w:rsidRDefault="00F43ACB" w:rsidP="00C4664C">
      <w:pPr>
        <w:pStyle w:val="Heading3"/>
        <w:numPr>
          <w:ilvl w:val="2"/>
          <w:numId w:val="8"/>
        </w:numPr>
        <w:spacing w:line="360" w:lineRule="auto"/>
        <w:jc w:val="both"/>
        <w:rPr>
          <w:rFonts w:ascii="Arial" w:hAnsi="Arial" w:cs="Arial"/>
          <w:b/>
          <w:color w:val="000000" w:themeColor="text1"/>
          <w:sz w:val="20"/>
          <w:szCs w:val="20"/>
        </w:rPr>
      </w:pPr>
      <w:r w:rsidRPr="00A03850">
        <w:rPr>
          <w:rFonts w:ascii="Arial" w:hAnsi="Arial" w:cs="Arial"/>
          <w:b/>
          <w:color w:val="auto"/>
        </w:rPr>
        <w:t>Akutni učinak STZ-icv na ekspresiju c-fos u DMNX</w:t>
      </w:r>
    </w:p>
    <w:p w14:paraId="3E1868E4" w14:textId="77777777" w:rsidR="00C4664C" w:rsidRPr="005208C9" w:rsidRDefault="00C4664C" w:rsidP="00A03850">
      <w:pPr>
        <w:spacing w:line="360" w:lineRule="auto"/>
        <w:jc w:val="both"/>
        <w:rPr>
          <w:rFonts w:ascii="Arial" w:hAnsi="Arial" w:cs="Arial"/>
          <w:sz w:val="20"/>
          <w:szCs w:val="20"/>
        </w:rPr>
      </w:pPr>
    </w:p>
    <w:p w14:paraId="11A88AE9" w14:textId="16DEE714" w:rsidR="002A3978" w:rsidRPr="005208C9" w:rsidRDefault="0054566B" w:rsidP="00A03850">
      <w:pPr>
        <w:spacing w:line="360" w:lineRule="auto"/>
        <w:jc w:val="both"/>
        <w:rPr>
          <w:rFonts w:ascii="Arial" w:hAnsi="Arial" w:cs="Arial"/>
          <w:sz w:val="20"/>
          <w:szCs w:val="20"/>
        </w:rPr>
      </w:pPr>
      <w:r w:rsidRPr="005208C9">
        <w:rPr>
          <w:rFonts w:ascii="Arial" w:hAnsi="Arial" w:cs="Arial"/>
          <w:sz w:val="20"/>
          <w:szCs w:val="20"/>
        </w:rPr>
        <w:t>Kako bi utvrdili akutni učinak STZ-icv na stanice</w:t>
      </w:r>
      <w:r w:rsidR="00A03850">
        <w:rPr>
          <w:rFonts w:ascii="Arial" w:hAnsi="Arial" w:cs="Arial"/>
          <w:sz w:val="20"/>
          <w:szCs w:val="20"/>
        </w:rPr>
        <w:t xml:space="preserve"> DMNX</w:t>
      </w:r>
      <w:r w:rsidRPr="005208C9">
        <w:rPr>
          <w:rFonts w:ascii="Arial" w:hAnsi="Arial" w:cs="Arial"/>
          <w:sz w:val="20"/>
          <w:szCs w:val="20"/>
        </w:rPr>
        <w:t xml:space="preserve">, analizirali smo ekspresiju protoonkogena c-fos. C-fos </w:t>
      </w:r>
      <w:r w:rsidR="005711F3" w:rsidRPr="005208C9">
        <w:rPr>
          <w:rFonts w:ascii="Arial" w:hAnsi="Arial" w:cs="Arial"/>
          <w:sz w:val="20"/>
          <w:szCs w:val="20"/>
        </w:rPr>
        <w:t xml:space="preserve">se smatra </w:t>
      </w:r>
      <w:r w:rsidRPr="005208C9">
        <w:rPr>
          <w:rFonts w:ascii="Arial" w:hAnsi="Arial" w:cs="Arial"/>
          <w:sz w:val="20"/>
          <w:szCs w:val="20"/>
        </w:rPr>
        <w:t xml:space="preserve">neposrednim ranim genom i </w:t>
      </w:r>
      <w:r w:rsidR="00945E96" w:rsidRPr="005208C9">
        <w:rPr>
          <w:rFonts w:ascii="Arial" w:hAnsi="Arial" w:cs="Arial"/>
          <w:sz w:val="20"/>
          <w:szCs w:val="20"/>
        </w:rPr>
        <w:t>koristi se kao marker</w:t>
      </w:r>
      <w:r w:rsidRPr="005208C9">
        <w:rPr>
          <w:rFonts w:ascii="Arial" w:hAnsi="Arial" w:cs="Arial"/>
          <w:sz w:val="20"/>
          <w:szCs w:val="20"/>
        </w:rPr>
        <w:t xml:space="preserve"> </w:t>
      </w:r>
      <w:r w:rsidRPr="00D46669">
        <w:rPr>
          <w:rFonts w:ascii="Arial" w:hAnsi="Arial" w:cs="Arial"/>
          <w:sz w:val="20"/>
          <w:szCs w:val="20"/>
        </w:rPr>
        <w:t>neuronalne aktivnosti</w:t>
      </w:r>
      <w:r w:rsidR="00AF07E5" w:rsidRPr="00D46669">
        <w:rPr>
          <w:rFonts w:ascii="Arial" w:hAnsi="Arial" w:cs="Arial"/>
          <w:sz w:val="20"/>
          <w:szCs w:val="20"/>
        </w:rPr>
        <w:t xml:space="preserve"> </w:t>
      </w:r>
      <w:r w:rsidR="00AF07E5" w:rsidRPr="00D46669">
        <w:rPr>
          <w:rFonts w:ascii="Arial" w:hAnsi="Arial" w:cs="Arial"/>
          <w:sz w:val="20"/>
          <w:szCs w:val="20"/>
        </w:rPr>
        <w:fldChar w:fldCharType="begin" w:fldLock="1"/>
      </w:r>
      <w:r w:rsidR="00AF07E5" w:rsidRPr="00D46669">
        <w:rPr>
          <w:rFonts w:ascii="Arial" w:hAnsi="Arial" w:cs="Arial"/>
          <w:sz w:val="20"/>
          <w:szCs w:val="20"/>
        </w:rPr>
        <w:instrText>ADDIN CSL_CITATION { "citationItems" : [ { "id" : "ITEM-1", "itemData" : { "DOI" : "10.1006/frne.1993.1006", "ISSN" : "00913022", "PMID" : "8349003", "abstract" : "Expression of c-Fos, or other immediate early gene products, by individual neurons can be used as a marker of cell activation, making staining of these proteins an extremely useful technique for functional anatomical mapping of neuroendocrine systems. Because these proteins are located in the nucleus, identification of the phenotype of the activated neuron using substances located within the cytoplasm can be accomplished with standard double-labeling immunocytochemical techniques. Although it is clear that neurons have the capacity to express a number of immediate early gene products, what remains to be established is whether there is a different pattern of expression following various stimuli. In our studies, we focus primarily on expression of one immediate early gene product, the c-Fos protein. We also include some experiments using expression of other members of the Fos family and Jun proteins as markers for neuronal activation. Our studies describe uses of c-Fos expression in both parvocellular and magnocellular hypothalamic systems to address the following issues: (a) identification of neuroendocrine cells activated by specific treatments and conditions, (b) ascertainment of functional differences in subpopulations activated by specific stimuli, (c) evaluation of neuronal activity in complex areas containing multiple neuroendocrine systems, (d) identification of other brain areas activated in conjunction with neuroendocrine systems following specific stimuli, (e) analysis of connectivity of activated neuroendocrine systems with other parts of the brain, and (f) identification of stimuli that decrease neuronal activity. The neuroendocrine systems studied include those that secrete arginine vasopressin (AVP), oxytocin (OT), corticotropin-releasing hormone (CRH), luteinizing hormone-releasing hormone (LHRH), and dopamine (DA). The use of c-Fos expression has permitted functional neuroanatomical mapping of these systems in response to specific stimuli such as cholecystokinin (CCK), hyperosmolality, and volume depletion, or during various physiological states such as the proestrous ovulatory luteinizing hormone (LH) surge and lactation. Although the use of c-Fos as a marker of neuronal activation will continue to be an extremely powerful technique, future studies will also be directed at relating immediate early gene expression to changes in neuroendocrine gene expression. To this end, we have shown that both c-Fos and c-Jun are expressed in neuroendoc\u2026", "author" : [ { "dropping-particle" : "", "family" : "Hoffman", "given" : "Gloria E.", "non-dropping-particle" : "", "parse-names" : false, "suffix" : "" }, { "dropping-particle" : "", "family" : "Smith", "given" : "M.Susan", "non-dropping-particle" : "", "parse-names" : false, "suffix" : "" }, { "dropping-particle" : "", "family" : "Verbalis", "given" : "Joseph G.", "non-dropping-particle" : "", "parse-names" : false, "suffix" : "" } ], "container-title" : "Frontiers in Neuroendocrinology", "id" : "ITEM-1", "issue" : "3", "issued" : { "date-parts" : [ [ "1993", "7" ] ] }, "page" : "173-213", "title" : "c-Fos and Related Immediate Early Gene Products as Markers of Activity in Neuroendocrine Systems", "type" : "article-journal", "volume" : "14" }, "uris" : [ "http://www.mendeley.com/documents/?uuid=b03ad987-13b0-3538-a3ba-ba88abbbdc55" ] } ], "mendeley" : { "formattedCitation" : "(Hoffman, Smith, &amp; Verbalis, 1993)", "plainTextFormattedCitation" : "(Hoffman, Smith, &amp; Verbalis, 1993)", "previouslyFormattedCitation" : "(Hoffman, Smith, &amp; Verbalis, 1993)" }, "properties" : {  }, "schema" : "https://github.com/citation-style-language/schema/raw/master/csl-citation.json" }</w:instrText>
      </w:r>
      <w:r w:rsidR="00AF07E5" w:rsidRPr="00D46669">
        <w:rPr>
          <w:rFonts w:ascii="Arial" w:hAnsi="Arial" w:cs="Arial"/>
          <w:sz w:val="20"/>
          <w:szCs w:val="20"/>
        </w:rPr>
        <w:fldChar w:fldCharType="separate"/>
      </w:r>
      <w:r w:rsidR="00AF07E5" w:rsidRPr="00D46669">
        <w:rPr>
          <w:rFonts w:ascii="Arial" w:hAnsi="Arial" w:cs="Arial"/>
          <w:noProof/>
          <w:sz w:val="20"/>
          <w:szCs w:val="20"/>
        </w:rPr>
        <w:t>(Hoffman</w:t>
      </w:r>
      <w:r w:rsidR="00F316FC" w:rsidRPr="00D46669">
        <w:rPr>
          <w:rFonts w:ascii="Arial" w:hAnsi="Arial" w:cs="Arial"/>
          <w:noProof/>
          <w:sz w:val="20"/>
          <w:szCs w:val="20"/>
        </w:rPr>
        <w:t xml:space="preserve"> i sur.</w:t>
      </w:r>
      <w:r w:rsidR="00AF07E5" w:rsidRPr="00D46669">
        <w:rPr>
          <w:rFonts w:ascii="Arial" w:hAnsi="Arial" w:cs="Arial"/>
          <w:noProof/>
          <w:sz w:val="20"/>
          <w:szCs w:val="20"/>
        </w:rPr>
        <w:t>, 1993)</w:t>
      </w:r>
      <w:r w:rsidR="00AF07E5" w:rsidRPr="00D46669">
        <w:rPr>
          <w:rFonts w:ascii="Arial" w:hAnsi="Arial" w:cs="Arial"/>
          <w:sz w:val="20"/>
          <w:szCs w:val="20"/>
        </w:rPr>
        <w:fldChar w:fldCharType="end"/>
      </w:r>
      <w:r w:rsidRPr="00D46669">
        <w:rPr>
          <w:rFonts w:ascii="Arial" w:hAnsi="Arial" w:cs="Arial"/>
          <w:sz w:val="20"/>
          <w:szCs w:val="20"/>
        </w:rPr>
        <w:t>.</w:t>
      </w:r>
      <w:r w:rsidR="002A3978" w:rsidRPr="00D46669">
        <w:rPr>
          <w:rFonts w:ascii="Arial" w:hAnsi="Arial" w:cs="Arial"/>
          <w:sz w:val="20"/>
          <w:szCs w:val="20"/>
        </w:rPr>
        <w:t xml:space="preserve"> </w:t>
      </w:r>
      <w:r w:rsidR="008E311E" w:rsidRPr="00D46669">
        <w:rPr>
          <w:rFonts w:ascii="Arial" w:hAnsi="Arial" w:cs="Arial"/>
          <w:sz w:val="20"/>
          <w:szCs w:val="20"/>
        </w:rPr>
        <w:t>Sat vremena nakon STZ-icv tretmana ekspresija c-fos</w:t>
      </w:r>
      <w:r w:rsidR="008E311E" w:rsidRPr="005208C9">
        <w:rPr>
          <w:rFonts w:ascii="Arial" w:hAnsi="Arial" w:cs="Arial"/>
          <w:sz w:val="20"/>
          <w:szCs w:val="20"/>
        </w:rPr>
        <w:t xml:space="preserve"> povećana je u stanicama </w:t>
      </w:r>
      <w:r w:rsidR="002A3978" w:rsidRPr="005208C9">
        <w:rPr>
          <w:rFonts w:ascii="Arial" w:hAnsi="Arial" w:cs="Arial"/>
          <w:sz w:val="20"/>
          <w:szCs w:val="20"/>
        </w:rPr>
        <w:t xml:space="preserve">DMNX </w:t>
      </w:r>
      <w:r w:rsidR="008E311E" w:rsidRPr="005208C9">
        <w:rPr>
          <w:rFonts w:ascii="Arial" w:hAnsi="Arial" w:cs="Arial"/>
          <w:sz w:val="20"/>
          <w:szCs w:val="20"/>
        </w:rPr>
        <w:t>u usporedbi s istim</w:t>
      </w:r>
      <w:r w:rsidR="002A3978" w:rsidRPr="005208C9">
        <w:rPr>
          <w:rFonts w:ascii="Arial" w:hAnsi="Arial" w:cs="Arial"/>
          <w:sz w:val="20"/>
          <w:szCs w:val="20"/>
        </w:rPr>
        <w:t xml:space="preserve"> stanicama kontrolnih životinja što ukazuje na promjenu aktivnos</w:t>
      </w:r>
      <w:r w:rsidR="00136EBD">
        <w:rPr>
          <w:rFonts w:ascii="Arial" w:hAnsi="Arial" w:cs="Arial"/>
          <w:sz w:val="20"/>
          <w:szCs w:val="20"/>
        </w:rPr>
        <w:t>ti povezanu s a</w:t>
      </w:r>
      <w:r w:rsidR="00A03850">
        <w:rPr>
          <w:rFonts w:ascii="Arial" w:hAnsi="Arial" w:cs="Arial"/>
          <w:sz w:val="20"/>
          <w:szCs w:val="20"/>
        </w:rPr>
        <w:t>dministracijom</w:t>
      </w:r>
      <w:r w:rsidR="00136EBD">
        <w:rPr>
          <w:rFonts w:ascii="Arial" w:hAnsi="Arial" w:cs="Arial"/>
          <w:sz w:val="20"/>
          <w:szCs w:val="20"/>
        </w:rPr>
        <w:t xml:space="preserve"> STZ (S</w:t>
      </w:r>
      <w:r w:rsidR="002A3978" w:rsidRPr="005208C9">
        <w:rPr>
          <w:rFonts w:ascii="Arial" w:hAnsi="Arial" w:cs="Arial"/>
          <w:sz w:val="20"/>
          <w:szCs w:val="20"/>
        </w:rPr>
        <w:t>lika</w:t>
      </w:r>
      <w:r w:rsidR="00136EBD">
        <w:rPr>
          <w:rFonts w:ascii="Arial" w:hAnsi="Arial" w:cs="Arial"/>
          <w:sz w:val="20"/>
          <w:szCs w:val="20"/>
        </w:rPr>
        <w:t xml:space="preserve"> 3</w:t>
      </w:r>
      <w:r w:rsidR="002A3978" w:rsidRPr="005208C9">
        <w:rPr>
          <w:rFonts w:ascii="Arial" w:hAnsi="Arial" w:cs="Arial"/>
          <w:sz w:val="20"/>
          <w:szCs w:val="20"/>
        </w:rPr>
        <w:t xml:space="preserve">. A i B). </w:t>
      </w:r>
    </w:p>
    <w:p w14:paraId="09E5D34E" w14:textId="77777777" w:rsidR="00CF7D85" w:rsidRDefault="002A3978" w:rsidP="00CF7D85">
      <w:pPr>
        <w:spacing w:line="360" w:lineRule="auto"/>
        <w:jc w:val="both"/>
      </w:pPr>
      <w:r>
        <w:rPr>
          <w:noProof/>
          <w:lang w:val="en-GB" w:eastAsia="en-GB"/>
        </w:rPr>
        <w:lastRenderedPageBreak/>
        <w:drawing>
          <wp:inline distT="0" distB="0" distL="0" distR="0" wp14:anchorId="40F8BDAD" wp14:editId="21916E1E">
            <wp:extent cx="5753100" cy="2903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903220"/>
                    </a:xfrm>
                    <a:prstGeom prst="rect">
                      <a:avLst/>
                    </a:prstGeom>
                    <a:noFill/>
                    <a:ln>
                      <a:noFill/>
                    </a:ln>
                  </pic:spPr>
                </pic:pic>
              </a:graphicData>
            </a:graphic>
          </wp:inline>
        </w:drawing>
      </w:r>
    </w:p>
    <w:p w14:paraId="50E815D3" w14:textId="1C2243E1" w:rsidR="002A3978" w:rsidRDefault="00DF00F8" w:rsidP="00136EBD">
      <w:pPr>
        <w:spacing w:line="240" w:lineRule="auto"/>
        <w:jc w:val="both"/>
        <w:rPr>
          <w:rFonts w:ascii="Arial" w:hAnsi="Arial" w:cs="Arial"/>
          <w:sz w:val="20"/>
          <w:szCs w:val="20"/>
        </w:rPr>
      </w:pPr>
      <w:r w:rsidRPr="002A3978">
        <w:rPr>
          <w:rFonts w:ascii="Arial" w:hAnsi="Arial" w:cs="Arial"/>
          <w:sz w:val="20"/>
          <w:szCs w:val="20"/>
        </w:rPr>
        <w:t>S</w:t>
      </w:r>
      <w:r w:rsidR="009A0490">
        <w:rPr>
          <w:rFonts w:ascii="Arial" w:hAnsi="Arial" w:cs="Arial"/>
          <w:sz w:val="20"/>
          <w:szCs w:val="20"/>
        </w:rPr>
        <w:t>lika 3</w:t>
      </w:r>
      <w:r w:rsidR="00CF7D85" w:rsidRPr="002A3978">
        <w:rPr>
          <w:rFonts w:ascii="Arial" w:hAnsi="Arial" w:cs="Arial"/>
          <w:sz w:val="20"/>
          <w:szCs w:val="20"/>
        </w:rPr>
        <w:t xml:space="preserve">. </w:t>
      </w:r>
      <w:r w:rsidR="00C503D3">
        <w:rPr>
          <w:rFonts w:ascii="Arial" w:hAnsi="Arial" w:cs="Arial"/>
          <w:sz w:val="20"/>
          <w:szCs w:val="20"/>
        </w:rPr>
        <w:t>Imunofluorescentni p</w:t>
      </w:r>
      <w:r w:rsidR="00CF7D85" w:rsidRPr="002A3978">
        <w:rPr>
          <w:rFonts w:ascii="Arial" w:hAnsi="Arial" w:cs="Arial"/>
          <w:sz w:val="20"/>
          <w:szCs w:val="20"/>
        </w:rPr>
        <w:t xml:space="preserve">rikaz </w:t>
      </w:r>
      <w:r w:rsidR="00C503D3">
        <w:rPr>
          <w:rFonts w:ascii="Arial" w:hAnsi="Arial" w:cs="Arial"/>
          <w:sz w:val="20"/>
          <w:szCs w:val="20"/>
        </w:rPr>
        <w:t>ekspresije c-fos proteina (</w:t>
      </w:r>
      <w:r w:rsidR="00C503D3" w:rsidRPr="002A3978">
        <w:rPr>
          <w:rFonts w:ascii="Arial" w:hAnsi="Arial" w:cs="Arial"/>
          <w:sz w:val="20"/>
          <w:szCs w:val="20"/>
        </w:rPr>
        <w:t>crv</w:t>
      </w:r>
      <w:r w:rsidR="00C503D3">
        <w:rPr>
          <w:rFonts w:ascii="Arial" w:hAnsi="Arial" w:cs="Arial"/>
          <w:sz w:val="20"/>
          <w:szCs w:val="20"/>
        </w:rPr>
        <w:t xml:space="preserve">eno obojenje </w:t>
      </w:r>
      <w:r w:rsidR="00C503D3" w:rsidRPr="002A3978">
        <w:rPr>
          <w:rFonts w:ascii="Arial" w:hAnsi="Arial" w:cs="Arial"/>
          <w:sz w:val="20"/>
          <w:szCs w:val="20"/>
        </w:rPr>
        <w:t>označeno strelicama</w:t>
      </w:r>
      <w:r w:rsidR="00C503D3">
        <w:rPr>
          <w:rFonts w:ascii="Arial" w:hAnsi="Arial" w:cs="Arial"/>
          <w:sz w:val="20"/>
          <w:szCs w:val="20"/>
        </w:rPr>
        <w:t>)</w:t>
      </w:r>
      <w:r w:rsidR="00C503D3" w:rsidRPr="002A3978">
        <w:rPr>
          <w:rFonts w:ascii="Arial" w:hAnsi="Arial" w:cs="Arial"/>
          <w:sz w:val="20"/>
          <w:szCs w:val="20"/>
        </w:rPr>
        <w:t xml:space="preserve"> </w:t>
      </w:r>
      <w:r w:rsidR="00CF7D85" w:rsidRPr="002A3978">
        <w:rPr>
          <w:rFonts w:ascii="Arial" w:hAnsi="Arial" w:cs="Arial"/>
          <w:sz w:val="20"/>
          <w:szCs w:val="20"/>
        </w:rPr>
        <w:t>reprezentativnog prereza moždanog debla štakora</w:t>
      </w:r>
      <w:r w:rsidR="002A3978" w:rsidRPr="002A3978">
        <w:rPr>
          <w:rFonts w:ascii="Arial" w:hAnsi="Arial" w:cs="Arial"/>
          <w:sz w:val="20"/>
          <w:szCs w:val="20"/>
        </w:rPr>
        <w:t xml:space="preserve"> kontrolne životinje (</w:t>
      </w:r>
      <w:r w:rsidR="00C503D3">
        <w:rPr>
          <w:rFonts w:ascii="Arial" w:hAnsi="Arial" w:cs="Arial"/>
          <w:sz w:val="20"/>
          <w:szCs w:val="20"/>
        </w:rPr>
        <w:t>CTR</w:t>
      </w:r>
      <w:r w:rsidR="003744EB">
        <w:rPr>
          <w:rFonts w:ascii="Arial" w:hAnsi="Arial" w:cs="Arial"/>
          <w:sz w:val="20"/>
          <w:szCs w:val="20"/>
        </w:rPr>
        <w:t>) (</w:t>
      </w:r>
      <w:r w:rsidR="002A3978" w:rsidRPr="002A3978">
        <w:rPr>
          <w:rFonts w:ascii="Arial" w:hAnsi="Arial" w:cs="Arial"/>
          <w:sz w:val="20"/>
          <w:szCs w:val="20"/>
        </w:rPr>
        <w:t>A) i STZ-icv tretirane životinje</w:t>
      </w:r>
      <w:r w:rsidR="003744EB">
        <w:rPr>
          <w:rFonts w:ascii="Arial" w:hAnsi="Arial" w:cs="Arial"/>
          <w:sz w:val="20"/>
          <w:szCs w:val="20"/>
        </w:rPr>
        <w:t xml:space="preserve"> (STZ)</w:t>
      </w:r>
      <w:r w:rsidR="002A3978" w:rsidRPr="002A3978">
        <w:rPr>
          <w:rFonts w:ascii="Arial" w:hAnsi="Arial" w:cs="Arial"/>
          <w:sz w:val="20"/>
          <w:szCs w:val="20"/>
        </w:rPr>
        <w:t xml:space="preserve"> (B)</w:t>
      </w:r>
      <w:r w:rsidR="00C21F70" w:rsidRPr="002A3978">
        <w:rPr>
          <w:rFonts w:ascii="Arial" w:hAnsi="Arial" w:cs="Arial"/>
          <w:sz w:val="20"/>
          <w:szCs w:val="20"/>
        </w:rPr>
        <w:t xml:space="preserve">. Povećanje </w:t>
      </w:r>
      <w:r w:rsidR="002C33EB">
        <w:rPr>
          <w:rFonts w:ascii="Arial" w:hAnsi="Arial" w:cs="Arial"/>
          <w:sz w:val="20"/>
          <w:szCs w:val="20"/>
        </w:rPr>
        <w:t>2</w:t>
      </w:r>
      <w:r w:rsidR="00136EBD">
        <w:rPr>
          <w:rFonts w:ascii="Arial" w:hAnsi="Arial" w:cs="Arial"/>
          <w:sz w:val="20"/>
          <w:szCs w:val="20"/>
        </w:rPr>
        <w:t>0X</w:t>
      </w:r>
      <w:r w:rsidR="00C21F70" w:rsidRPr="002A3978">
        <w:rPr>
          <w:rFonts w:ascii="Arial" w:hAnsi="Arial" w:cs="Arial"/>
          <w:sz w:val="20"/>
          <w:szCs w:val="20"/>
        </w:rPr>
        <w:t xml:space="preserve"> puta. </w:t>
      </w:r>
      <w:r w:rsidR="002A3978" w:rsidRPr="002A3978">
        <w:rPr>
          <w:rFonts w:ascii="Arial" w:hAnsi="Arial" w:cs="Arial"/>
          <w:sz w:val="20"/>
          <w:szCs w:val="20"/>
        </w:rPr>
        <w:t>XII – jezgra hypoglossusa; DMNX – dorzalna motorna jezgra vagusa; NTS – jezgra solitarnog trakta.</w:t>
      </w:r>
    </w:p>
    <w:p w14:paraId="76D197A4" w14:textId="04EF7DEB" w:rsidR="00136EBD" w:rsidRPr="00E92C5B" w:rsidRDefault="00136EBD" w:rsidP="00136EBD">
      <w:pPr>
        <w:pStyle w:val="Heading3"/>
        <w:numPr>
          <w:ilvl w:val="2"/>
          <w:numId w:val="8"/>
        </w:numPr>
        <w:spacing w:line="360" w:lineRule="auto"/>
        <w:jc w:val="both"/>
        <w:rPr>
          <w:rFonts w:ascii="Arial" w:hAnsi="Arial" w:cs="Arial"/>
          <w:color w:val="000000" w:themeColor="text1"/>
          <w:sz w:val="20"/>
          <w:szCs w:val="20"/>
        </w:rPr>
      </w:pPr>
      <w:r w:rsidRPr="00A03850">
        <w:rPr>
          <w:rFonts w:ascii="Arial" w:hAnsi="Arial" w:cs="Arial"/>
          <w:b/>
          <w:color w:val="auto"/>
        </w:rPr>
        <w:t>Akutni učinak STZ-icv na mtaboličke promjene u DMN</w:t>
      </w:r>
      <w:r>
        <w:rPr>
          <w:rFonts w:ascii="Arial" w:hAnsi="Arial" w:cs="Arial"/>
          <w:color w:val="auto"/>
        </w:rPr>
        <w:t>X</w:t>
      </w:r>
    </w:p>
    <w:p w14:paraId="4F832FE7" w14:textId="77777777" w:rsidR="00136EBD" w:rsidRPr="002A3978" w:rsidRDefault="00136EBD" w:rsidP="00136EBD">
      <w:pPr>
        <w:spacing w:line="240" w:lineRule="auto"/>
        <w:jc w:val="both"/>
        <w:rPr>
          <w:rFonts w:ascii="Arial" w:hAnsi="Arial" w:cs="Arial"/>
          <w:sz w:val="20"/>
          <w:szCs w:val="20"/>
        </w:rPr>
      </w:pPr>
    </w:p>
    <w:p w14:paraId="1F9F681E" w14:textId="0E7E798D" w:rsidR="00314C75" w:rsidRPr="002A3978" w:rsidRDefault="002A3978" w:rsidP="005208C9">
      <w:pPr>
        <w:spacing w:line="360" w:lineRule="auto"/>
        <w:jc w:val="both"/>
        <w:rPr>
          <w:rFonts w:ascii="Arial" w:hAnsi="Arial" w:cs="Arial"/>
          <w:color w:val="000000" w:themeColor="text1"/>
          <w:sz w:val="20"/>
          <w:szCs w:val="20"/>
        </w:rPr>
      </w:pPr>
      <w:r w:rsidRPr="002A3978">
        <w:rPr>
          <w:rFonts w:ascii="Arial" w:hAnsi="Arial" w:cs="Arial"/>
          <w:sz w:val="20"/>
          <w:szCs w:val="20"/>
        </w:rPr>
        <w:t xml:space="preserve">Budući da u mozgu STZ-icv uzrokuje akutne metaboličke promjene, zanimalo nas je postoje li akutne metaboličke promjene nakon </w:t>
      </w:r>
      <w:r w:rsidR="00A03850">
        <w:rPr>
          <w:rFonts w:ascii="Arial" w:hAnsi="Arial" w:cs="Arial"/>
          <w:sz w:val="20"/>
          <w:szCs w:val="20"/>
        </w:rPr>
        <w:t>administracije</w:t>
      </w:r>
      <w:r w:rsidRPr="002A3978">
        <w:rPr>
          <w:rFonts w:ascii="Arial" w:hAnsi="Arial" w:cs="Arial"/>
          <w:sz w:val="20"/>
          <w:szCs w:val="20"/>
        </w:rPr>
        <w:t xml:space="preserve"> STZ-icv i u stanicama DMNX. </w:t>
      </w:r>
      <w:r w:rsidR="00AB3C24">
        <w:rPr>
          <w:rFonts w:ascii="Arial" w:hAnsi="Arial" w:cs="Arial"/>
          <w:sz w:val="20"/>
          <w:szCs w:val="20"/>
        </w:rPr>
        <w:t xml:space="preserve">Kako je </w:t>
      </w:r>
      <w:r w:rsidRPr="002A3978">
        <w:rPr>
          <w:rFonts w:ascii="Arial" w:hAnsi="Arial" w:cs="Arial"/>
          <w:sz w:val="20"/>
          <w:szCs w:val="20"/>
        </w:rPr>
        <w:t xml:space="preserve">IR </w:t>
      </w:r>
      <w:r w:rsidR="00945E96" w:rsidRPr="002A3978">
        <w:rPr>
          <w:rFonts w:ascii="Arial" w:hAnsi="Arial" w:cs="Arial"/>
          <w:sz w:val="20"/>
          <w:szCs w:val="20"/>
        </w:rPr>
        <w:t>jedna od meta STZ-</w:t>
      </w:r>
      <w:r w:rsidR="00945E96" w:rsidRPr="00DF1F73">
        <w:rPr>
          <w:rFonts w:ascii="Arial" w:hAnsi="Arial" w:cs="Arial"/>
          <w:sz w:val="20"/>
          <w:szCs w:val="20"/>
        </w:rPr>
        <w:t xml:space="preserve">icv </w:t>
      </w:r>
      <w:r w:rsidR="00945E96" w:rsidRPr="00DF1F73">
        <w:rPr>
          <w:rFonts w:ascii="Arial" w:hAnsi="Arial" w:cs="Arial"/>
          <w:sz w:val="20"/>
          <w:szCs w:val="20"/>
        </w:rPr>
        <w:fldChar w:fldCharType="begin" w:fldLock="1"/>
      </w:r>
      <w:r w:rsidR="000F476E" w:rsidRPr="00DF1F73">
        <w:rPr>
          <w:rFonts w:ascii="Arial" w:hAnsi="Arial" w:cs="Arial"/>
          <w:sz w:val="20"/>
          <w:szCs w:val="20"/>
        </w:rPr>
        <w:instrText>ADDIN CSL_CITATION { "citationItems" : [ { "id" : "ITEM-1", "itemData" : { "DOI" : "10.1007/s00702-017-1727-6", "ISSN" : "0300-9564", "PMID" : "28470423", "abstract" : "Accumulated evidence suggests that the insulin-resistant brain state and cerebral glucose hypometabolism might be the cause, rather than the consequence, of the neurodegeneration found in a sporadic Alzheimer's disease (sAD). We have explored whether the insulin receptor (IR) and the glucose transporter-2 (GLUT2), used here as their markers, are the early targets of intracerebroventricularly (icv) administered streptozotocin (STZ) in an STZ-icv rat model of sAD, and whether their changes are associated with the STZ-induced neuroinflammation. The expression of IR, GLUT2 and glial fibrillary acidic protein (GFAP) was measured by immunofluorescence and western blot analysis in the parietal (PC) and the temporal (TC) cortex, in the hippocampus (HPC) and the hypothalamus. One hour after the STZ-icv administration (1.5\u00a0mg/kg), the GFAP immunoreactivity was significantly increased in all four regions, thus indicating the wide spread neuroinflammation, pronounced in the PC and the HPC. Changes in the GLUT2 (increment) and the IR (decrement) expression were mild in the areas close to the site of the STZ injection/release but pronounced in the ependymal lining cells of the third ventricle, thus indicating the possible metabolic implications. These results, together with the finding of the GLUT2-IR co-expression, and also the neuronal IR expression in PC, TC and HPC, indicate that the cerebral GLUT2 and IR should be further explored as the possible sAD etiopathogenic factors. It should be further clarified whether their alterations are the effect of a direct STZ-icv toxicity or they are triggered in a response to STZ-icv induced neuroinflammation.", "author" : [ { "dropping-particle" : "", "family" : "Knezovic", "given" : "A.", "non-dropping-particle" : "", "parse-names" : false, "suffix" : "" }, { "dropping-particle" : "", "family" : "Loncar", "given" : "A.", "non-dropping-particle" : "", "parse-names" : false, "suffix" : "" }, { "dropping-particle" : "", "family" : "Homolak", "given" : "J.", "non-dropping-particle" : "", "parse-names" : false, "suffix" : "" }, { "dropping-particle" : "", "family" : "Smailovic", "given" : "U.", "non-dropping-particle" : "", "parse-names" : false, "suffix" : "" }, { "dropping-particle" : "", "family" : "Osmanovic Barilar", "given" : "J.", "non-dropping-particle" : "", "parse-names" : false, "suffix" : "" }, { "dropping-particle" : "", "family" : "Ganoci", "given" : "L.", "non-dropping-particle" : "", "parse-names" : false, "suffix" : "" }, { "dropping-particle" : "", "family" : "Bozina", "given" : "N.", "non-dropping-particle" : "", "parse-names" : false, "suffix" : "" }, { "dropping-particle" : "", "family" : "Riederer", "given" : "P.", "non-dropping-particle" : "", "parse-names" : false, "suffix" : "" }, { "dropping-particle" : "", "family" : "Salkovic-Petrisic", "given" : "Melita", "non-dropping-particle" : "", "parse-names" : false, "suffix" : "" } ], "container-title" : "Journal of Neural Transmission", "id" : "ITEM-1", "issue" : "6", "issued" : { "date-parts" : [ [ "2017", "6", "3" ] ] }, "page" : "695-708", "title" : "Rat brain glucose transporter-2, insulin receptor and glial expression are acute targets of intracerebroventricular streptozotocin: risk factors for sporadic Alzheimer?s disease?", "type" : "article-journal", "volume" : "124" }, "uris" : [ "http://www.mendeley.com/documents/?uuid=6c9cee87-c457-39b8-bd71-7050f59e72a4" ] } ], "mendeley" : { "formattedCitation" : "(A. Knezovic et al., 2017)", "plainTextFormattedCitation" : "(A. Knezovic et al., 2017)", "previouslyFormattedCitation" : "(A. Knezovic et al., 2017)" }, "properties" : {  }, "schema" : "https://github.com/citation-style-language/schema/raw/master/csl-citation.json" }</w:instrText>
      </w:r>
      <w:r w:rsidR="00945E96" w:rsidRPr="00DF1F73">
        <w:rPr>
          <w:rFonts w:ascii="Arial" w:hAnsi="Arial" w:cs="Arial"/>
          <w:sz w:val="20"/>
          <w:szCs w:val="20"/>
        </w:rPr>
        <w:fldChar w:fldCharType="separate"/>
      </w:r>
      <w:r w:rsidR="00136EBD" w:rsidRPr="00DF1F73">
        <w:rPr>
          <w:rFonts w:ascii="Arial" w:hAnsi="Arial" w:cs="Arial"/>
          <w:noProof/>
          <w:sz w:val="20"/>
          <w:szCs w:val="20"/>
        </w:rPr>
        <w:t>(</w:t>
      </w:r>
      <w:r w:rsidR="00A03850">
        <w:rPr>
          <w:rFonts w:ascii="Arial" w:hAnsi="Arial" w:cs="Arial"/>
          <w:noProof/>
          <w:sz w:val="20"/>
          <w:szCs w:val="20"/>
        </w:rPr>
        <w:t>Knezović</w:t>
      </w:r>
      <w:r w:rsidR="000F476E" w:rsidRPr="00DF1F73">
        <w:rPr>
          <w:rFonts w:ascii="Arial" w:hAnsi="Arial" w:cs="Arial"/>
          <w:noProof/>
          <w:sz w:val="20"/>
          <w:szCs w:val="20"/>
        </w:rPr>
        <w:t xml:space="preserve"> </w:t>
      </w:r>
      <w:r w:rsidR="00136EBD" w:rsidRPr="00DF1F73">
        <w:rPr>
          <w:rFonts w:ascii="Arial" w:hAnsi="Arial" w:cs="Arial"/>
          <w:noProof/>
          <w:sz w:val="20"/>
          <w:szCs w:val="20"/>
        </w:rPr>
        <w:t>i sur</w:t>
      </w:r>
      <w:r w:rsidR="000F476E" w:rsidRPr="00DF1F73">
        <w:rPr>
          <w:rFonts w:ascii="Arial" w:hAnsi="Arial" w:cs="Arial"/>
          <w:noProof/>
          <w:sz w:val="20"/>
          <w:szCs w:val="20"/>
        </w:rPr>
        <w:t>., 2017)</w:t>
      </w:r>
      <w:r w:rsidR="00945E96" w:rsidRPr="00DF1F73">
        <w:rPr>
          <w:rFonts w:ascii="Arial" w:hAnsi="Arial" w:cs="Arial"/>
          <w:sz w:val="20"/>
          <w:szCs w:val="20"/>
        </w:rPr>
        <w:fldChar w:fldCharType="end"/>
      </w:r>
      <w:r w:rsidR="00945E96" w:rsidRPr="00DF1F73">
        <w:rPr>
          <w:rFonts w:ascii="Arial" w:hAnsi="Arial" w:cs="Arial"/>
          <w:sz w:val="20"/>
          <w:szCs w:val="20"/>
        </w:rPr>
        <w:t xml:space="preserve">, </w:t>
      </w:r>
      <w:r w:rsidR="006D4246" w:rsidRPr="00DF1F73">
        <w:rPr>
          <w:rFonts w:ascii="Arial" w:hAnsi="Arial" w:cs="Arial"/>
          <w:sz w:val="20"/>
          <w:szCs w:val="20"/>
        </w:rPr>
        <w:t>analizirali smo ekspresiju inzulinskog receptora u stanicam</w:t>
      </w:r>
      <w:r w:rsidR="002078AB" w:rsidRPr="00DF1F73">
        <w:rPr>
          <w:rFonts w:ascii="Arial" w:hAnsi="Arial" w:cs="Arial"/>
          <w:sz w:val="20"/>
          <w:szCs w:val="20"/>
        </w:rPr>
        <w:t>a</w:t>
      </w:r>
      <w:r w:rsidRPr="00DF1F73">
        <w:rPr>
          <w:rFonts w:ascii="Arial" w:hAnsi="Arial" w:cs="Arial"/>
          <w:sz w:val="20"/>
          <w:szCs w:val="20"/>
        </w:rPr>
        <w:t xml:space="preserve"> DMNX</w:t>
      </w:r>
      <w:r w:rsidR="006D4246" w:rsidRPr="00DF1F73">
        <w:rPr>
          <w:rFonts w:ascii="Arial" w:hAnsi="Arial" w:cs="Arial"/>
          <w:sz w:val="20"/>
          <w:szCs w:val="20"/>
        </w:rPr>
        <w:t>.</w:t>
      </w:r>
      <w:r w:rsidRPr="00DF1F73">
        <w:rPr>
          <w:rFonts w:ascii="Arial" w:hAnsi="Arial" w:cs="Arial"/>
          <w:color w:val="000000" w:themeColor="text1"/>
          <w:sz w:val="20"/>
          <w:szCs w:val="20"/>
        </w:rPr>
        <w:t xml:space="preserve"> </w:t>
      </w:r>
      <w:r w:rsidR="00314C75" w:rsidRPr="00DF1F73">
        <w:rPr>
          <w:rFonts w:ascii="Arial" w:hAnsi="Arial" w:cs="Arial"/>
          <w:sz w:val="20"/>
          <w:szCs w:val="20"/>
        </w:rPr>
        <w:t xml:space="preserve">U odnosu na kontrolnu skupinu, </w:t>
      </w:r>
      <w:r w:rsidRPr="00DF1F73">
        <w:rPr>
          <w:rFonts w:ascii="Arial" w:hAnsi="Arial" w:cs="Arial"/>
          <w:sz w:val="20"/>
          <w:szCs w:val="20"/>
        </w:rPr>
        <w:t xml:space="preserve">stanice DMNX </w:t>
      </w:r>
      <w:r w:rsidR="00314C75" w:rsidRPr="00DF1F73">
        <w:rPr>
          <w:rFonts w:ascii="Arial" w:hAnsi="Arial" w:cs="Arial"/>
          <w:sz w:val="20"/>
          <w:szCs w:val="20"/>
        </w:rPr>
        <w:t>STZ-icv tretiranih štakora, sat vremena nakon</w:t>
      </w:r>
      <w:r w:rsidR="006D4246" w:rsidRPr="00DF1F73">
        <w:rPr>
          <w:rFonts w:ascii="Arial" w:hAnsi="Arial" w:cs="Arial"/>
          <w:sz w:val="20"/>
          <w:szCs w:val="20"/>
        </w:rPr>
        <w:t xml:space="preserve"> primjene STZ-icv</w:t>
      </w:r>
      <w:r w:rsidR="008E311E" w:rsidRPr="00DF1F73">
        <w:rPr>
          <w:rFonts w:ascii="Arial" w:hAnsi="Arial" w:cs="Arial"/>
          <w:sz w:val="20"/>
          <w:szCs w:val="20"/>
        </w:rPr>
        <w:t xml:space="preserve"> </w:t>
      </w:r>
      <w:r w:rsidRPr="00DF1F73">
        <w:rPr>
          <w:rFonts w:ascii="Arial" w:hAnsi="Arial" w:cs="Arial"/>
          <w:sz w:val="20"/>
          <w:szCs w:val="20"/>
        </w:rPr>
        <w:t>pokazuju povećanu</w:t>
      </w:r>
      <w:r w:rsidR="008E311E" w:rsidRPr="00DF1F73">
        <w:rPr>
          <w:rFonts w:ascii="Arial" w:hAnsi="Arial" w:cs="Arial"/>
          <w:sz w:val="20"/>
          <w:szCs w:val="20"/>
        </w:rPr>
        <w:t xml:space="preserve"> imunoreaktivnost na </w:t>
      </w:r>
      <w:r w:rsidRPr="00DF1F73">
        <w:rPr>
          <w:rFonts w:ascii="Arial" w:hAnsi="Arial" w:cs="Arial"/>
          <w:sz w:val="20"/>
          <w:szCs w:val="20"/>
        </w:rPr>
        <w:t xml:space="preserve">IR </w:t>
      </w:r>
      <w:r w:rsidR="008E311E" w:rsidRPr="00DF1F73">
        <w:rPr>
          <w:rFonts w:ascii="Arial" w:hAnsi="Arial" w:cs="Arial"/>
          <w:sz w:val="20"/>
          <w:szCs w:val="20"/>
        </w:rPr>
        <w:t>u vidu većeg broja pozitivnih stanica i pojačanog intenziteta signala</w:t>
      </w:r>
      <w:r w:rsidRPr="00DF1F73">
        <w:rPr>
          <w:rFonts w:ascii="Arial" w:hAnsi="Arial" w:cs="Arial"/>
          <w:sz w:val="20"/>
          <w:szCs w:val="20"/>
        </w:rPr>
        <w:t xml:space="preserve"> (</w:t>
      </w:r>
      <w:r w:rsidR="00136EBD" w:rsidRPr="00DF1F73">
        <w:rPr>
          <w:rFonts w:ascii="Arial" w:hAnsi="Arial" w:cs="Arial"/>
          <w:sz w:val="20"/>
          <w:szCs w:val="20"/>
        </w:rPr>
        <w:t>Slika 4</w:t>
      </w:r>
      <w:r w:rsidRPr="00DF1F73">
        <w:rPr>
          <w:rFonts w:ascii="Arial" w:hAnsi="Arial" w:cs="Arial"/>
          <w:sz w:val="20"/>
          <w:szCs w:val="20"/>
        </w:rPr>
        <w:t>. A i B)</w:t>
      </w:r>
      <w:r w:rsidR="008E311E" w:rsidRPr="00DF1F73">
        <w:rPr>
          <w:rFonts w:ascii="Arial" w:hAnsi="Arial" w:cs="Arial"/>
          <w:sz w:val="20"/>
          <w:szCs w:val="20"/>
        </w:rPr>
        <w:t>.</w:t>
      </w:r>
      <w:r w:rsidRPr="00DF1F73">
        <w:rPr>
          <w:rFonts w:ascii="Arial" w:hAnsi="Arial" w:cs="Arial"/>
          <w:sz w:val="20"/>
          <w:szCs w:val="20"/>
        </w:rPr>
        <w:t xml:space="preserve"> Kako bi utvrdili da je ova promjena povezana s metaboličkim promjenama analizirali smo fosforilaciju Unc-51 slične kinaze koja aktivira autofagiju 1 (ULK1) na serinu 757. Fosforilacija ULK1 na ovoj poziciji povezana je s inhibicijom autofagije i jedna je od mogućih signalizacijskih promjena nizvodno od IR posredovana aktivacijom mTOR sustava </w:t>
      </w:r>
      <w:r w:rsidRPr="00DF1F73">
        <w:rPr>
          <w:rFonts w:ascii="Arial" w:hAnsi="Arial" w:cs="Arial"/>
          <w:sz w:val="20"/>
          <w:szCs w:val="20"/>
        </w:rPr>
        <w:fldChar w:fldCharType="begin" w:fldLock="1"/>
      </w:r>
      <w:r w:rsidRPr="00DF1F73">
        <w:rPr>
          <w:rFonts w:ascii="Arial" w:hAnsi="Arial" w:cs="Arial"/>
          <w:sz w:val="20"/>
          <w:szCs w:val="20"/>
        </w:rPr>
        <w:instrText>ADDIN CSL_CITATION { "citationItems" : [ { "id" : "ITEM-1", "itemData" : { "DOI" : "10.1038/ncb2152", "ISSN" : "1465-7392", "PMID" : "21258367", "abstract" : "Autophagy is a process by which components of the cell are degraded to maintain essential activity and viability in response to nutrient limitation. Extensive genetic studies have shown that the yeast ATG1 kinase has an essential role in autophagy induction. Furthermore, autophagy is promoted by AMP activated protein kinase (AMPK), which is a key energy sensor and regulates cellular metabolism to maintain energy homeostasis. Conversely, autophagy is inhibited by the mammalian target of rapamycin (mTOR), a central cell-growth regulator that integrates growth factor and nutrient signals. Here we demonstrate a molecular mechanism for regulation of the mammalian autophagy-initiating kinase Ulk1, a homologue of yeast ATG1. Under glucose starvation, AMPK promotes autophagy by directly activating Ulk1 through phosphorylation of Ser 317 and Ser 777. Under nutrient sufficiency, high mTOR activity prevents Ulk1 activation by phosphorylating Ulk1 Ser 757 and disrupting the interaction between Ulk1 and AMPK. This coordinated phosphorylation is important for Ulk1 in autophagy induction. Our study has revealed a signalling mechanism for Ulk1 regulation and autophagy induction in response to nutrient signalling.", "author" : [ { "dropping-particle" : "", "family" : "Kim", "given" : "Joungmok", "non-dropping-particle" : "", "parse-names" : false, "suffix" : "" }, { "dropping-particle" : "", "family" : "Kundu", "given" : "Mondira", "non-dropping-particle" : "", "parse-names" : false, "suffix" : "" }, { "dropping-particle" : "", "family" : "Viollet", "given" : "Benoit", "non-dropping-particle" : "", "parse-names" : false, "suffix" : "" }, { "dropping-particle" : "", "family" : "Guan", "given" : "Kun-Liang", "non-dropping-particle" : "", "parse-names" : false, "suffix" : "" } ], "container-title" : "Nature Cell Biology", "id" : "ITEM-1", "issue" : "2", "issued" : { "date-parts" : [ [ "2011", "2", "23" ] ] }, "page" : "132-141", "title" : "AMPK and mTOR regulate autophagy through direct phosphorylation of Ulk1", "type" : "article-journal", "volume" : "13" }, "uris" : [ "http://www.mendeley.com/documents/?uuid=d3674ca1-1c11-3279-bafd-cf3924df8a6c" ] } ], "mendeley" : { "formattedCitation" : "(Kim, Kundu, Viollet, &amp; Guan, 2011)", "plainTextFormattedCitation" : "(Kim, Kundu, Viollet, &amp; Guan, 2011)", "previouslyFormattedCitation" : "(Kim, Kundu, Viollet, &amp; Guan, 2011)" }, "properties" : {  }, "schema" : "https://github.com/citation-style-language/schema/raw/master/csl-citation.json" }</w:instrText>
      </w:r>
      <w:r w:rsidRPr="00DF1F73">
        <w:rPr>
          <w:rFonts w:ascii="Arial" w:hAnsi="Arial" w:cs="Arial"/>
          <w:sz w:val="20"/>
          <w:szCs w:val="20"/>
        </w:rPr>
        <w:fldChar w:fldCharType="separate"/>
      </w:r>
      <w:r w:rsidRPr="00DF1F73">
        <w:rPr>
          <w:rFonts w:ascii="Arial" w:hAnsi="Arial" w:cs="Arial"/>
          <w:noProof/>
          <w:sz w:val="20"/>
          <w:szCs w:val="20"/>
        </w:rPr>
        <w:t>(Kim</w:t>
      </w:r>
      <w:r w:rsidR="00136EBD" w:rsidRPr="00DF1F73">
        <w:rPr>
          <w:rFonts w:ascii="Arial" w:hAnsi="Arial" w:cs="Arial"/>
          <w:noProof/>
          <w:sz w:val="20"/>
          <w:szCs w:val="20"/>
        </w:rPr>
        <w:t xml:space="preserve"> i sur.</w:t>
      </w:r>
      <w:r w:rsidRPr="00DF1F73">
        <w:rPr>
          <w:rFonts w:ascii="Arial" w:hAnsi="Arial" w:cs="Arial"/>
          <w:noProof/>
          <w:sz w:val="20"/>
          <w:szCs w:val="20"/>
        </w:rPr>
        <w:t>, 2011)</w:t>
      </w:r>
      <w:r w:rsidRPr="00DF1F73">
        <w:rPr>
          <w:rFonts w:ascii="Arial" w:hAnsi="Arial" w:cs="Arial"/>
          <w:sz w:val="20"/>
          <w:szCs w:val="20"/>
        </w:rPr>
        <w:fldChar w:fldCharType="end"/>
      </w:r>
      <w:r w:rsidRPr="00DF1F73">
        <w:rPr>
          <w:rFonts w:ascii="Arial" w:hAnsi="Arial" w:cs="Arial"/>
          <w:sz w:val="20"/>
          <w:szCs w:val="20"/>
        </w:rPr>
        <w:t>. Fosforilacija ULK1 na serinu 757 povećana je u stanicama DMNX STZ-icv tretiranih životinja u usporedbi</w:t>
      </w:r>
      <w:r w:rsidRPr="002A3978">
        <w:rPr>
          <w:rFonts w:ascii="Arial" w:hAnsi="Arial" w:cs="Arial"/>
          <w:sz w:val="20"/>
          <w:szCs w:val="20"/>
        </w:rPr>
        <w:t xml:space="preserve"> s kontrolom (slika </w:t>
      </w:r>
      <w:r w:rsidR="00136EBD">
        <w:rPr>
          <w:rFonts w:ascii="Arial" w:hAnsi="Arial" w:cs="Arial"/>
          <w:sz w:val="20"/>
          <w:szCs w:val="20"/>
        </w:rPr>
        <w:t>4</w:t>
      </w:r>
      <w:r w:rsidRPr="002A3978">
        <w:rPr>
          <w:rFonts w:ascii="Arial" w:hAnsi="Arial" w:cs="Arial"/>
          <w:sz w:val="20"/>
          <w:szCs w:val="20"/>
        </w:rPr>
        <w:t>. C i D)</w:t>
      </w:r>
      <w:r w:rsidR="005208C9">
        <w:rPr>
          <w:rFonts w:ascii="Arial" w:hAnsi="Arial" w:cs="Arial"/>
          <w:sz w:val="20"/>
          <w:szCs w:val="20"/>
        </w:rPr>
        <w:t>.</w:t>
      </w:r>
    </w:p>
    <w:p w14:paraId="19B4FC2B" w14:textId="52613EA5" w:rsidR="003116EB" w:rsidRPr="005208C9" w:rsidRDefault="00314C75" w:rsidP="00A03850">
      <w:pPr>
        <w:spacing w:line="240" w:lineRule="auto"/>
        <w:jc w:val="both"/>
        <w:rPr>
          <w:rFonts w:ascii="Arial" w:hAnsi="Arial" w:cs="Arial"/>
          <w:sz w:val="20"/>
          <w:szCs w:val="20"/>
        </w:rPr>
      </w:pPr>
      <w:r>
        <w:lastRenderedPageBreak/>
        <w:br/>
      </w:r>
      <w:r w:rsidR="005C7670">
        <w:rPr>
          <w:noProof/>
          <w:lang w:val="en-GB" w:eastAsia="en-GB"/>
        </w:rPr>
        <w:drawing>
          <wp:inline distT="0" distB="0" distL="0" distR="0" wp14:anchorId="633A2753" wp14:editId="49037E5B">
            <wp:extent cx="5029200" cy="499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4991100"/>
                    </a:xfrm>
                    <a:prstGeom prst="rect">
                      <a:avLst/>
                    </a:prstGeom>
                    <a:noFill/>
                    <a:ln>
                      <a:noFill/>
                    </a:ln>
                  </pic:spPr>
                </pic:pic>
              </a:graphicData>
            </a:graphic>
          </wp:inline>
        </w:drawing>
      </w:r>
      <w:r w:rsidR="009A0490">
        <w:rPr>
          <w:rFonts w:ascii="Arial" w:hAnsi="Arial" w:cs="Arial"/>
          <w:sz w:val="20"/>
          <w:szCs w:val="20"/>
        </w:rPr>
        <w:br/>
      </w:r>
      <w:r w:rsidR="009A0490" w:rsidRPr="002A3978">
        <w:rPr>
          <w:rFonts w:ascii="Arial" w:hAnsi="Arial" w:cs="Arial"/>
          <w:sz w:val="20"/>
          <w:szCs w:val="20"/>
        </w:rPr>
        <w:t>S</w:t>
      </w:r>
      <w:r w:rsidR="009A0490">
        <w:rPr>
          <w:rFonts w:ascii="Arial" w:hAnsi="Arial" w:cs="Arial"/>
          <w:sz w:val="20"/>
          <w:szCs w:val="20"/>
        </w:rPr>
        <w:t>lika 4</w:t>
      </w:r>
      <w:r w:rsidR="009A0490" w:rsidRPr="002A3978">
        <w:rPr>
          <w:rFonts w:ascii="Arial" w:hAnsi="Arial" w:cs="Arial"/>
          <w:sz w:val="20"/>
          <w:szCs w:val="20"/>
        </w:rPr>
        <w:t xml:space="preserve">. </w:t>
      </w:r>
      <w:r w:rsidR="009A0490">
        <w:rPr>
          <w:rFonts w:ascii="Arial" w:hAnsi="Arial" w:cs="Arial"/>
          <w:sz w:val="20"/>
          <w:szCs w:val="20"/>
        </w:rPr>
        <w:t>Imunofluorescentni p</w:t>
      </w:r>
      <w:r w:rsidR="009A0490" w:rsidRPr="002A3978">
        <w:rPr>
          <w:rFonts w:ascii="Arial" w:hAnsi="Arial" w:cs="Arial"/>
          <w:sz w:val="20"/>
          <w:szCs w:val="20"/>
        </w:rPr>
        <w:t xml:space="preserve">rikaz </w:t>
      </w:r>
      <w:r w:rsidR="009A0490">
        <w:rPr>
          <w:rFonts w:ascii="Arial" w:hAnsi="Arial" w:cs="Arial"/>
          <w:sz w:val="20"/>
          <w:szCs w:val="20"/>
        </w:rPr>
        <w:t>ekspresije inzulinskog receptora (IR</w:t>
      </w:r>
      <w:r w:rsidR="003116EB">
        <w:rPr>
          <w:rFonts w:ascii="Arial" w:hAnsi="Arial" w:cs="Arial"/>
          <w:sz w:val="20"/>
          <w:szCs w:val="20"/>
        </w:rPr>
        <w:t xml:space="preserve">, povećanje </w:t>
      </w:r>
      <w:r w:rsidR="002C33EB">
        <w:rPr>
          <w:rFonts w:ascii="Arial" w:hAnsi="Arial" w:cs="Arial"/>
          <w:sz w:val="20"/>
          <w:szCs w:val="20"/>
        </w:rPr>
        <w:t>2</w:t>
      </w:r>
      <w:r w:rsidR="003116EB">
        <w:rPr>
          <w:rFonts w:ascii="Arial" w:hAnsi="Arial" w:cs="Arial"/>
          <w:sz w:val="20"/>
          <w:szCs w:val="20"/>
        </w:rPr>
        <w:t>0X</w:t>
      </w:r>
      <w:r w:rsidR="009A0490">
        <w:rPr>
          <w:rFonts w:ascii="Arial" w:hAnsi="Arial" w:cs="Arial"/>
          <w:sz w:val="20"/>
          <w:szCs w:val="20"/>
        </w:rPr>
        <w:t xml:space="preserve">) (A i B) (zeleno obojenje </w:t>
      </w:r>
      <w:r w:rsidR="009A0490" w:rsidRPr="002A3978">
        <w:rPr>
          <w:rFonts w:ascii="Arial" w:hAnsi="Arial" w:cs="Arial"/>
          <w:sz w:val="20"/>
          <w:szCs w:val="20"/>
        </w:rPr>
        <w:t>označeno strelicama</w:t>
      </w:r>
      <w:r w:rsidR="009A0490">
        <w:rPr>
          <w:rFonts w:ascii="Arial" w:hAnsi="Arial" w:cs="Arial"/>
          <w:sz w:val="20"/>
          <w:szCs w:val="20"/>
        </w:rPr>
        <w:t>) i pULK1 (crveno obojenje označeno strelicama)</w:t>
      </w:r>
      <w:r w:rsidR="009A0490" w:rsidRPr="002A3978">
        <w:rPr>
          <w:rFonts w:ascii="Arial" w:hAnsi="Arial" w:cs="Arial"/>
          <w:sz w:val="20"/>
          <w:szCs w:val="20"/>
        </w:rPr>
        <w:t xml:space="preserve"> </w:t>
      </w:r>
      <w:r w:rsidR="00994EE1">
        <w:rPr>
          <w:rFonts w:ascii="Arial" w:hAnsi="Arial" w:cs="Arial"/>
          <w:sz w:val="20"/>
          <w:szCs w:val="20"/>
        </w:rPr>
        <w:t>(C i D</w:t>
      </w:r>
      <w:r w:rsidR="003116EB">
        <w:rPr>
          <w:rFonts w:ascii="Arial" w:hAnsi="Arial" w:cs="Arial"/>
          <w:sz w:val="20"/>
          <w:szCs w:val="20"/>
        </w:rPr>
        <w:t xml:space="preserve">, povećanje </w:t>
      </w:r>
      <w:r w:rsidR="002C33EB">
        <w:rPr>
          <w:rFonts w:ascii="Arial" w:hAnsi="Arial" w:cs="Arial"/>
          <w:sz w:val="20"/>
          <w:szCs w:val="20"/>
        </w:rPr>
        <w:t>1</w:t>
      </w:r>
      <w:r w:rsidR="003116EB">
        <w:rPr>
          <w:rFonts w:ascii="Arial" w:hAnsi="Arial" w:cs="Arial"/>
          <w:sz w:val="20"/>
          <w:szCs w:val="20"/>
        </w:rPr>
        <w:t>0X</w:t>
      </w:r>
      <w:r w:rsidR="00994EE1">
        <w:rPr>
          <w:rFonts w:ascii="Arial" w:hAnsi="Arial" w:cs="Arial"/>
          <w:sz w:val="20"/>
          <w:szCs w:val="20"/>
        </w:rPr>
        <w:t xml:space="preserve">) </w:t>
      </w:r>
      <w:r w:rsidR="009A0490" w:rsidRPr="002A3978">
        <w:rPr>
          <w:rFonts w:ascii="Arial" w:hAnsi="Arial" w:cs="Arial"/>
          <w:sz w:val="20"/>
          <w:szCs w:val="20"/>
        </w:rPr>
        <w:t>reprezentativnog prereza moždanog debla štakora kontrolne životinje (</w:t>
      </w:r>
      <w:r w:rsidR="009A0490">
        <w:rPr>
          <w:rFonts w:ascii="Arial" w:hAnsi="Arial" w:cs="Arial"/>
          <w:sz w:val="20"/>
          <w:szCs w:val="20"/>
        </w:rPr>
        <w:t>CTR) (</w:t>
      </w:r>
      <w:r w:rsidR="009A0490" w:rsidRPr="002A3978">
        <w:rPr>
          <w:rFonts w:ascii="Arial" w:hAnsi="Arial" w:cs="Arial"/>
          <w:sz w:val="20"/>
          <w:szCs w:val="20"/>
        </w:rPr>
        <w:t>A</w:t>
      </w:r>
      <w:r w:rsidR="009A0490">
        <w:rPr>
          <w:rFonts w:ascii="Arial" w:hAnsi="Arial" w:cs="Arial"/>
          <w:sz w:val="20"/>
          <w:szCs w:val="20"/>
        </w:rPr>
        <w:t xml:space="preserve"> i C</w:t>
      </w:r>
      <w:r w:rsidR="009A0490" w:rsidRPr="002A3978">
        <w:rPr>
          <w:rFonts w:ascii="Arial" w:hAnsi="Arial" w:cs="Arial"/>
          <w:sz w:val="20"/>
          <w:szCs w:val="20"/>
        </w:rPr>
        <w:t>) i STZ-icv tretirane životinje</w:t>
      </w:r>
      <w:r w:rsidR="009A0490">
        <w:rPr>
          <w:rFonts w:ascii="Arial" w:hAnsi="Arial" w:cs="Arial"/>
          <w:sz w:val="20"/>
          <w:szCs w:val="20"/>
        </w:rPr>
        <w:t xml:space="preserve"> (STZ)</w:t>
      </w:r>
      <w:r w:rsidR="009A0490" w:rsidRPr="002A3978">
        <w:rPr>
          <w:rFonts w:ascii="Arial" w:hAnsi="Arial" w:cs="Arial"/>
          <w:sz w:val="20"/>
          <w:szCs w:val="20"/>
        </w:rPr>
        <w:t xml:space="preserve"> (B</w:t>
      </w:r>
      <w:r w:rsidR="009A0490">
        <w:rPr>
          <w:rFonts w:ascii="Arial" w:hAnsi="Arial" w:cs="Arial"/>
          <w:sz w:val="20"/>
          <w:szCs w:val="20"/>
        </w:rPr>
        <w:t xml:space="preserve"> i D</w:t>
      </w:r>
      <w:r w:rsidR="009A0490" w:rsidRPr="002A3978">
        <w:rPr>
          <w:rFonts w:ascii="Arial" w:hAnsi="Arial" w:cs="Arial"/>
          <w:sz w:val="20"/>
          <w:szCs w:val="20"/>
        </w:rPr>
        <w:t>)</w:t>
      </w:r>
      <w:r w:rsidR="009A0490">
        <w:rPr>
          <w:rFonts w:ascii="Arial" w:hAnsi="Arial" w:cs="Arial"/>
          <w:sz w:val="20"/>
          <w:szCs w:val="20"/>
        </w:rPr>
        <w:t xml:space="preserve">. </w:t>
      </w:r>
      <w:r w:rsidR="009A0490" w:rsidRPr="002A3978">
        <w:rPr>
          <w:rFonts w:ascii="Arial" w:hAnsi="Arial" w:cs="Arial"/>
          <w:sz w:val="20"/>
          <w:szCs w:val="20"/>
        </w:rPr>
        <w:t xml:space="preserve"> </w:t>
      </w:r>
      <w:r w:rsidR="00994EE1" w:rsidRPr="005208C9">
        <w:rPr>
          <w:rFonts w:ascii="Arial" w:hAnsi="Arial" w:cs="Arial"/>
          <w:sz w:val="20"/>
          <w:szCs w:val="20"/>
        </w:rPr>
        <w:t>XII – jezgra hypoglossusa; DMNX – dorzalna motorna jezgra vagusa; NTS – jez</w:t>
      </w:r>
      <w:r w:rsidR="00994EE1">
        <w:rPr>
          <w:rFonts w:ascii="Arial" w:hAnsi="Arial" w:cs="Arial"/>
          <w:sz w:val="20"/>
          <w:szCs w:val="20"/>
        </w:rPr>
        <w:t>gra solitarnog trakta</w:t>
      </w:r>
      <w:r w:rsidR="00994EE1" w:rsidRPr="005208C9">
        <w:rPr>
          <w:rFonts w:ascii="Arial" w:hAnsi="Arial" w:cs="Arial"/>
          <w:sz w:val="20"/>
          <w:szCs w:val="20"/>
        </w:rPr>
        <w:t>; CC – centralni kanal.</w:t>
      </w:r>
    </w:p>
    <w:p w14:paraId="4F3ABB49" w14:textId="13B84FA3" w:rsidR="003116EB" w:rsidRPr="00A03850" w:rsidRDefault="006F445C" w:rsidP="003116EB">
      <w:pPr>
        <w:pStyle w:val="ListParagraph"/>
        <w:numPr>
          <w:ilvl w:val="2"/>
          <w:numId w:val="8"/>
        </w:numPr>
        <w:spacing w:line="360" w:lineRule="auto"/>
        <w:jc w:val="both"/>
        <w:rPr>
          <w:rFonts w:ascii="Arial" w:hAnsi="Arial" w:cs="Arial"/>
          <w:b/>
        </w:rPr>
      </w:pPr>
      <w:r w:rsidRPr="00A03850">
        <w:rPr>
          <w:rFonts w:ascii="Arial" w:hAnsi="Arial" w:cs="Arial"/>
          <w:b/>
        </w:rPr>
        <w:t xml:space="preserve">Akutni učinak STZ-icv na GFAP ekspresiju u DMNX </w:t>
      </w:r>
    </w:p>
    <w:p w14:paraId="77E375CA" w14:textId="07FEE7EA" w:rsidR="00AB3C24" w:rsidRDefault="00CA4FE7" w:rsidP="003116EB">
      <w:pPr>
        <w:spacing w:line="360" w:lineRule="auto"/>
        <w:jc w:val="both"/>
        <w:rPr>
          <w:noProof/>
        </w:rPr>
      </w:pPr>
      <w:r w:rsidRPr="003116EB">
        <w:rPr>
          <w:rFonts w:ascii="Arial" w:hAnsi="Arial" w:cs="Arial"/>
          <w:sz w:val="20"/>
          <w:szCs w:val="20"/>
        </w:rPr>
        <w:br/>
        <w:t xml:space="preserve">Akutna administracija STZ-icv </w:t>
      </w:r>
      <w:r w:rsidR="002A3978" w:rsidRPr="003116EB">
        <w:rPr>
          <w:rFonts w:ascii="Arial" w:hAnsi="Arial" w:cs="Arial"/>
          <w:sz w:val="20"/>
          <w:szCs w:val="20"/>
        </w:rPr>
        <w:t>uzrokuje neuro-upalne promjene</w:t>
      </w:r>
      <w:r w:rsidR="003116EB">
        <w:rPr>
          <w:rFonts w:ascii="Arial" w:hAnsi="Arial" w:cs="Arial"/>
          <w:sz w:val="20"/>
          <w:szCs w:val="20"/>
        </w:rPr>
        <w:t>,</w:t>
      </w:r>
      <w:r w:rsidR="002A3978" w:rsidRPr="003116EB">
        <w:rPr>
          <w:rFonts w:ascii="Arial" w:hAnsi="Arial" w:cs="Arial"/>
          <w:sz w:val="20"/>
          <w:szCs w:val="20"/>
        </w:rPr>
        <w:t xml:space="preserve"> povezane</w:t>
      </w:r>
      <w:r w:rsidR="003116EB">
        <w:rPr>
          <w:rFonts w:ascii="Arial" w:hAnsi="Arial" w:cs="Arial"/>
          <w:sz w:val="20"/>
          <w:szCs w:val="20"/>
        </w:rPr>
        <w:t xml:space="preserve"> </w:t>
      </w:r>
      <w:r w:rsidRPr="003116EB">
        <w:rPr>
          <w:rFonts w:ascii="Arial" w:hAnsi="Arial" w:cs="Arial"/>
          <w:sz w:val="20"/>
          <w:szCs w:val="20"/>
        </w:rPr>
        <w:t xml:space="preserve">s povećanom imunoreaktivnosti kiselog vlaknastog proteina glije (glial fibrillary acidic protein; GFAP) u mozgu </w:t>
      </w:r>
      <w:r w:rsidRPr="00DF1F73">
        <w:rPr>
          <w:rFonts w:ascii="Arial" w:hAnsi="Arial" w:cs="Arial"/>
          <w:sz w:val="20"/>
          <w:szCs w:val="20"/>
        </w:rPr>
        <w:fldChar w:fldCharType="begin" w:fldLock="1"/>
      </w:r>
      <w:r w:rsidR="000F476E" w:rsidRPr="00DF1F73">
        <w:rPr>
          <w:rFonts w:ascii="Arial" w:hAnsi="Arial" w:cs="Arial"/>
          <w:sz w:val="20"/>
          <w:szCs w:val="20"/>
        </w:rPr>
        <w:instrText>ADDIN CSL_CITATION { "citationItems" : [ { "id" : "ITEM-1", "itemData" : { "DOI" : "10.1007/s00702-017-1727-6", "ISSN" : "0300-9564", "PMID" : "28470423", "abstract" : "Accumulated evidence suggests that the insulin-resistant brain state and cerebral glucose hypometabolism might be the cause, rather than the consequence, of the neurodegeneration found in a sporadic Alzheimer's disease (sAD). We have explored whether the insulin receptor (IR) and the glucose transporter-2 (GLUT2), used here as their markers, are the early targets of intracerebroventricularly (icv) administered streptozotocin (STZ) in an STZ-icv rat model of sAD, and whether their changes are associated with the STZ-induced neuroinflammation. The expression of IR, GLUT2 and glial fibrillary acidic protein (GFAP) was measured by immunofluorescence and western blot analysis in the parietal (PC) and the temporal (TC) cortex, in the hippocampus (HPC) and the hypothalamus. One hour after the STZ-icv administration (1.5\u00a0mg/kg), the GFAP immunoreactivity was significantly increased in all four regions, thus indicating the wide spread neuroinflammation, pronounced in the PC and the HPC. Changes in the GLUT2 (increment) and the IR (decrement) expression were mild in the areas close to the site of the STZ injection/release but pronounced in the ependymal lining cells of the third ventricle, thus indicating the possible metabolic implications. These results, together with the finding of the GLUT2-IR co-expression, and also the neuronal IR expression in PC, TC and HPC, indicate that the cerebral GLUT2 and IR should be further explored as the possible sAD etiopathogenic factors. It should be further clarified whether their alterations are the effect of a direct STZ-icv toxicity or they are triggered in a response to STZ-icv induced neuroinflammation.", "author" : [ { "dropping-particle" : "", "family" : "Knezovic", "given" : "A.", "non-dropping-particle" : "", "parse-names" : false, "suffix" : "" }, { "dropping-particle" : "", "family" : "Loncar", "given" : "A.", "non-dropping-particle" : "", "parse-names" : false, "suffix" : "" }, { "dropping-particle" : "", "family" : "Homolak", "given" : "J.", "non-dropping-particle" : "", "parse-names" : false, "suffix" : "" }, { "dropping-particle" : "", "family" : "Smailovic", "given" : "U.", "non-dropping-particle" : "", "parse-names" : false, "suffix" : "" }, { "dropping-particle" : "", "family" : "Osmanovic Barilar", "given" : "J.", "non-dropping-particle" : "", "parse-names" : false, "suffix" : "" }, { "dropping-particle" : "", "family" : "Ganoci", "given" : "L.", "non-dropping-particle" : "", "parse-names" : false, "suffix" : "" }, { "dropping-particle" : "", "family" : "Bozina", "given" : "N.", "non-dropping-particle" : "", "parse-names" : false, "suffix" : "" }, { "dropping-particle" : "", "family" : "Riederer", "given" : "P.", "non-dropping-particle" : "", "parse-names" : false, "suffix" : "" }, { "dropping-particle" : "", "family" : "Salkovic-Petrisic", "given" : "Melita", "non-dropping-particle" : "", "parse-names" : false, "suffix" : "" } ], "container-title" : "Journal of Neural Transmission", "id" : "ITEM-1", "issue" : "6", "issued" : { "date-parts" : [ [ "2017", "6", "3" ] ] }, "page" : "695-708", "title" : "Rat brain glucose transporter-2, insulin receptor and glial expression are acute targets of intracerebroventricular streptozotocin: risk factors for sporadic Alzheimer?s disease?", "type" : "article-journal", "volume" : "124" }, "uris" : [ "http://www.mendeley.com/documents/?uuid=6c9cee87-c457-39b8-bd71-7050f59e72a4" ] } ], "mendeley" : { "formattedCitation" : "(A. Knezovic et al., 2017)", "plainTextFormattedCitation" : "(A. Knezovic et al., 2017)", "previouslyFormattedCitation" : "(A. Knezovic et al., 2017)" }, "properties" : {  }, "schema" : "https://github.com/citation-style-language/schema/raw/master/csl-citation.json" }</w:instrText>
      </w:r>
      <w:r w:rsidRPr="00DF1F73">
        <w:rPr>
          <w:rFonts w:ascii="Arial" w:hAnsi="Arial" w:cs="Arial"/>
          <w:sz w:val="20"/>
          <w:szCs w:val="20"/>
        </w:rPr>
        <w:fldChar w:fldCharType="separate"/>
      </w:r>
      <w:r w:rsidR="000F476E" w:rsidRPr="00DF1F73">
        <w:rPr>
          <w:rFonts w:ascii="Arial" w:hAnsi="Arial" w:cs="Arial"/>
          <w:noProof/>
          <w:sz w:val="20"/>
          <w:szCs w:val="20"/>
        </w:rPr>
        <w:t xml:space="preserve">(Knezovic </w:t>
      </w:r>
      <w:r w:rsidR="003116EB" w:rsidRPr="00DF1F73">
        <w:rPr>
          <w:rFonts w:ascii="Arial" w:hAnsi="Arial" w:cs="Arial"/>
          <w:noProof/>
          <w:sz w:val="20"/>
          <w:szCs w:val="20"/>
        </w:rPr>
        <w:t>i sur</w:t>
      </w:r>
      <w:r w:rsidR="000F476E" w:rsidRPr="00DF1F73">
        <w:rPr>
          <w:rFonts w:ascii="Arial" w:hAnsi="Arial" w:cs="Arial"/>
          <w:noProof/>
          <w:sz w:val="20"/>
          <w:szCs w:val="20"/>
        </w:rPr>
        <w:t>., 2017)</w:t>
      </w:r>
      <w:r w:rsidRPr="00DF1F73">
        <w:rPr>
          <w:rFonts w:ascii="Arial" w:hAnsi="Arial" w:cs="Arial"/>
          <w:sz w:val="20"/>
          <w:szCs w:val="20"/>
        </w:rPr>
        <w:fldChar w:fldCharType="end"/>
      </w:r>
      <w:r w:rsidRPr="00DF1F73">
        <w:rPr>
          <w:rFonts w:ascii="Arial" w:hAnsi="Arial" w:cs="Arial"/>
          <w:sz w:val="20"/>
          <w:szCs w:val="20"/>
        </w:rPr>
        <w:t>. U moždanom deblu, nakon primjene STZ-icv, imunoreaktivnost GFAP</w:t>
      </w:r>
      <w:r w:rsidR="00064A90" w:rsidRPr="00DF1F73">
        <w:rPr>
          <w:rFonts w:ascii="Arial" w:hAnsi="Arial" w:cs="Arial"/>
          <w:sz w:val="20"/>
          <w:szCs w:val="20"/>
        </w:rPr>
        <w:t xml:space="preserve"> </w:t>
      </w:r>
      <w:r w:rsidR="002A3978" w:rsidRPr="00DF1F73">
        <w:rPr>
          <w:rFonts w:ascii="Arial" w:hAnsi="Arial" w:cs="Arial"/>
          <w:sz w:val="20"/>
          <w:szCs w:val="20"/>
        </w:rPr>
        <w:t>smanjena</w:t>
      </w:r>
      <w:r w:rsidR="002A3978" w:rsidRPr="003116EB">
        <w:rPr>
          <w:rFonts w:ascii="Arial" w:hAnsi="Arial" w:cs="Arial"/>
          <w:sz w:val="20"/>
          <w:szCs w:val="20"/>
        </w:rPr>
        <w:t xml:space="preserve"> je u </w:t>
      </w:r>
      <w:r w:rsidR="00064A90" w:rsidRPr="003116EB">
        <w:rPr>
          <w:rFonts w:ascii="Arial" w:hAnsi="Arial" w:cs="Arial"/>
          <w:sz w:val="20"/>
          <w:szCs w:val="20"/>
        </w:rPr>
        <w:t xml:space="preserve">stanicama DMNX </w:t>
      </w:r>
      <w:r w:rsidR="002A3978" w:rsidRPr="003116EB">
        <w:rPr>
          <w:rFonts w:ascii="Arial" w:hAnsi="Arial" w:cs="Arial"/>
          <w:sz w:val="20"/>
          <w:szCs w:val="20"/>
        </w:rPr>
        <w:t>(</w:t>
      </w:r>
      <w:r w:rsidR="003116EB">
        <w:rPr>
          <w:rFonts w:ascii="Arial" w:hAnsi="Arial" w:cs="Arial"/>
          <w:sz w:val="20"/>
          <w:szCs w:val="20"/>
        </w:rPr>
        <w:t>Slika 5</w:t>
      </w:r>
      <w:r w:rsidR="002A3978" w:rsidRPr="003116EB">
        <w:rPr>
          <w:rFonts w:ascii="Arial" w:hAnsi="Arial" w:cs="Arial"/>
          <w:sz w:val="20"/>
          <w:szCs w:val="20"/>
        </w:rPr>
        <w:t xml:space="preserve">. C i D), </w:t>
      </w:r>
      <w:r w:rsidR="00064A90" w:rsidRPr="003116EB">
        <w:rPr>
          <w:rFonts w:ascii="Arial" w:hAnsi="Arial" w:cs="Arial"/>
          <w:noProof/>
          <w:sz w:val="20"/>
          <w:szCs w:val="20"/>
        </w:rPr>
        <w:t xml:space="preserve">u području centralnog kanala, središnjeg dijela solitarne jezgre te uz </w:t>
      </w:r>
      <w:r w:rsidR="00CD440B" w:rsidRPr="003116EB">
        <w:rPr>
          <w:rFonts w:ascii="Arial" w:hAnsi="Arial" w:cs="Arial"/>
          <w:noProof/>
          <w:sz w:val="20"/>
          <w:szCs w:val="20"/>
        </w:rPr>
        <w:t xml:space="preserve">dijelove </w:t>
      </w:r>
      <w:r w:rsidR="00511498">
        <w:rPr>
          <w:rFonts w:ascii="Arial" w:hAnsi="Arial" w:cs="Arial"/>
          <w:noProof/>
          <w:sz w:val="20"/>
          <w:szCs w:val="20"/>
        </w:rPr>
        <w:t>jezgre solitarnog trakta (</w:t>
      </w:r>
      <w:r w:rsidR="00CD440B" w:rsidRPr="003116EB">
        <w:rPr>
          <w:rFonts w:ascii="Arial" w:hAnsi="Arial" w:cs="Arial"/>
          <w:noProof/>
          <w:sz w:val="20"/>
          <w:szCs w:val="20"/>
        </w:rPr>
        <w:t>NTS</w:t>
      </w:r>
      <w:r w:rsidR="00511498">
        <w:rPr>
          <w:rFonts w:ascii="Arial" w:hAnsi="Arial" w:cs="Arial"/>
          <w:noProof/>
          <w:sz w:val="20"/>
          <w:szCs w:val="20"/>
        </w:rPr>
        <w:t>)</w:t>
      </w:r>
      <w:r w:rsidR="00CD440B" w:rsidRPr="003116EB">
        <w:rPr>
          <w:rFonts w:ascii="Arial" w:hAnsi="Arial" w:cs="Arial"/>
          <w:noProof/>
          <w:sz w:val="20"/>
          <w:szCs w:val="20"/>
        </w:rPr>
        <w:t xml:space="preserve"> koji graniče s </w:t>
      </w:r>
      <w:r w:rsidR="00511498">
        <w:rPr>
          <w:rFonts w:ascii="Arial" w:hAnsi="Arial" w:cs="Arial"/>
          <w:noProof/>
          <w:sz w:val="20"/>
          <w:szCs w:val="20"/>
        </w:rPr>
        <w:t xml:space="preserve">AP </w:t>
      </w:r>
      <w:r w:rsidR="00064A90" w:rsidRPr="003116EB">
        <w:rPr>
          <w:rFonts w:ascii="Arial" w:hAnsi="Arial" w:cs="Arial"/>
          <w:noProof/>
          <w:sz w:val="20"/>
          <w:szCs w:val="20"/>
        </w:rPr>
        <w:t>(</w:t>
      </w:r>
      <w:r w:rsidR="003116EB">
        <w:rPr>
          <w:rFonts w:ascii="Arial" w:hAnsi="Arial" w:cs="Arial"/>
          <w:noProof/>
          <w:sz w:val="20"/>
          <w:szCs w:val="20"/>
        </w:rPr>
        <w:t>S</w:t>
      </w:r>
      <w:r w:rsidR="002A3978" w:rsidRPr="003116EB">
        <w:rPr>
          <w:rFonts w:ascii="Arial" w:hAnsi="Arial" w:cs="Arial"/>
          <w:noProof/>
          <w:sz w:val="20"/>
          <w:szCs w:val="20"/>
        </w:rPr>
        <w:t xml:space="preserve">lika </w:t>
      </w:r>
      <w:r w:rsidR="003116EB">
        <w:rPr>
          <w:rFonts w:ascii="Arial" w:hAnsi="Arial" w:cs="Arial"/>
          <w:noProof/>
          <w:sz w:val="20"/>
          <w:szCs w:val="20"/>
        </w:rPr>
        <w:t>5</w:t>
      </w:r>
      <w:r w:rsidR="002A3978" w:rsidRPr="003116EB">
        <w:rPr>
          <w:rFonts w:ascii="Arial" w:hAnsi="Arial" w:cs="Arial"/>
          <w:noProof/>
          <w:sz w:val="20"/>
          <w:szCs w:val="20"/>
        </w:rPr>
        <w:t xml:space="preserve">. A i B). </w:t>
      </w:r>
    </w:p>
    <w:p w14:paraId="3C5F5466" w14:textId="162FC4EC" w:rsidR="00994EE1" w:rsidRDefault="00AB3C24" w:rsidP="002C33EB">
      <w:pPr>
        <w:spacing w:line="240" w:lineRule="auto"/>
        <w:jc w:val="both"/>
        <w:rPr>
          <w:rFonts w:ascii="Arial" w:hAnsi="Arial" w:cs="Arial"/>
          <w:sz w:val="20"/>
          <w:szCs w:val="20"/>
        </w:rPr>
      </w:pPr>
      <w:r>
        <w:rPr>
          <w:noProof/>
          <w:lang w:val="en-GB" w:eastAsia="en-GB"/>
        </w:rPr>
        <w:lastRenderedPageBreak/>
        <w:drawing>
          <wp:inline distT="0" distB="0" distL="0" distR="0" wp14:anchorId="1BDD37E7" wp14:editId="6ED2BB86">
            <wp:extent cx="5023485" cy="48768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3485" cy="4876800"/>
                    </a:xfrm>
                    <a:prstGeom prst="rect">
                      <a:avLst/>
                    </a:prstGeom>
                    <a:noFill/>
                    <a:ln>
                      <a:noFill/>
                    </a:ln>
                  </pic:spPr>
                </pic:pic>
              </a:graphicData>
            </a:graphic>
          </wp:inline>
        </w:drawing>
      </w:r>
      <w:r w:rsidR="002A3978">
        <w:br/>
      </w:r>
      <w:r w:rsidR="009A0490">
        <w:rPr>
          <w:rFonts w:ascii="Arial" w:hAnsi="Arial" w:cs="Arial"/>
          <w:sz w:val="20"/>
          <w:szCs w:val="20"/>
        </w:rPr>
        <w:t>Slika 5</w:t>
      </w:r>
      <w:r w:rsidR="002A3978" w:rsidRPr="005208C9">
        <w:rPr>
          <w:rFonts w:ascii="Arial" w:hAnsi="Arial" w:cs="Arial"/>
          <w:sz w:val="20"/>
          <w:szCs w:val="20"/>
        </w:rPr>
        <w:t xml:space="preserve">. </w:t>
      </w:r>
      <w:r w:rsidR="009A0490">
        <w:rPr>
          <w:rFonts w:ascii="Arial" w:hAnsi="Arial" w:cs="Arial"/>
          <w:sz w:val="20"/>
          <w:szCs w:val="20"/>
        </w:rPr>
        <w:t>Imunofluorescentni p</w:t>
      </w:r>
      <w:r w:rsidR="009A0490" w:rsidRPr="002A3978">
        <w:rPr>
          <w:rFonts w:ascii="Arial" w:hAnsi="Arial" w:cs="Arial"/>
          <w:sz w:val="20"/>
          <w:szCs w:val="20"/>
        </w:rPr>
        <w:t xml:space="preserve">rikaz </w:t>
      </w:r>
      <w:r w:rsidR="009A0490">
        <w:rPr>
          <w:rFonts w:ascii="Arial" w:hAnsi="Arial" w:cs="Arial"/>
          <w:sz w:val="20"/>
          <w:szCs w:val="20"/>
        </w:rPr>
        <w:t xml:space="preserve">ekspresije GFAP (A - D) (crveno obojenje </w:t>
      </w:r>
      <w:r w:rsidR="009A0490" w:rsidRPr="002A3978">
        <w:rPr>
          <w:rFonts w:ascii="Arial" w:hAnsi="Arial" w:cs="Arial"/>
          <w:sz w:val="20"/>
          <w:szCs w:val="20"/>
        </w:rPr>
        <w:t>označeno strelicama</w:t>
      </w:r>
      <w:r w:rsidR="009A0490">
        <w:rPr>
          <w:rFonts w:ascii="Arial" w:hAnsi="Arial" w:cs="Arial"/>
          <w:sz w:val="20"/>
          <w:szCs w:val="20"/>
        </w:rPr>
        <w:t xml:space="preserve">) </w:t>
      </w:r>
      <w:r w:rsidR="009A0490" w:rsidRPr="002A3978">
        <w:rPr>
          <w:rFonts w:ascii="Arial" w:hAnsi="Arial" w:cs="Arial"/>
          <w:sz w:val="20"/>
          <w:szCs w:val="20"/>
        </w:rPr>
        <w:t>reprezentativnog prereza moždanog debla štakora kontrolne životinje (</w:t>
      </w:r>
      <w:r w:rsidR="009A0490">
        <w:rPr>
          <w:rFonts w:ascii="Arial" w:hAnsi="Arial" w:cs="Arial"/>
          <w:sz w:val="20"/>
          <w:szCs w:val="20"/>
        </w:rPr>
        <w:t>CTR) (</w:t>
      </w:r>
      <w:r w:rsidR="009A0490" w:rsidRPr="002A3978">
        <w:rPr>
          <w:rFonts w:ascii="Arial" w:hAnsi="Arial" w:cs="Arial"/>
          <w:sz w:val="20"/>
          <w:szCs w:val="20"/>
        </w:rPr>
        <w:t>A</w:t>
      </w:r>
      <w:r w:rsidR="009A0490">
        <w:rPr>
          <w:rFonts w:ascii="Arial" w:hAnsi="Arial" w:cs="Arial"/>
          <w:sz w:val="20"/>
          <w:szCs w:val="20"/>
        </w:rPr>
        <w:t xml:space="preserve"> i C</w:t>
      </w:r>
      <w:r w:rsidR="009A0490" w:rsidRPr="002A3978">
        <w:rPr>
          <w:rFonts w:ascii="Arial" w:hAnsi="Arial" w:cs="Arial"/>
          <w:sz w:val="20"/>
          <w:szCs w:val="20"/>
        </w:rPr>
        <w:t>) i STZ-icv tretirane životinje</w:t>
      </w:r>
      <w:r w:rsidR="009A0490">
        <w:rPr>
          <w:rFonts w:ascii="Arial" w:hAnsi="Arial" w:cs="Arial"/>
          <w:sz w:val="20"/>
          <w:szCs w:val="20"/>
        </w:rPr>
        <w:t xml:space="preserve"> (STZ)</w:t>
      </w:r>
      <w:r w:rsidR="009A0490" w:rsidRPr="002A3978">
        <w:rPr>
          <w:rFonts w:ascii="Arial" w:hAnsi="Arial" w:cs="Arial"/>
          <w:sz w:val="20"/>
          <w:szCs w:val="20"/>
        </w:rPr>
        <w:t xml:space="preserve"> (B</w:t>
      </w:r>
      <w:r w:rsidR="009A0490">
        <w:rPr>
          <w:rFonts w:ascii="Arial" w:hAnsi="Arial" w:cs="Arial"/>
          <w:sz w:val="20"/>
          <w:szCs w:val="20"/>
        </w:rPr>
        <w:t xml:space="preserve"> i D</w:t>
      </w:r>
      <w:r w:rsidR="009A0490" w:rsidRPr="002A3978">
        <w:rPr>
          <w:rFonts w:ascii="Arial" w:hAnsi="Arial" w:cs="Arial"/>
          <w:sz w:val="20"/>
          <w:szCs w:val="20"/>
        </w:rPr>
        <w:t>)</w:t>
      </w:r>
      <w:r w:rsidR="009A0490">
        <w:rPr>
          <w:rFonts w:ascii="Arial" w:hAnsi="Arial" w:cs="Arial"/>
          <w:sz w:val="20"/>
          <w:szCs w:val="20"/>
        </w:rPr>
        <w:t xml:space="preserve">. </w:t>
      </w:r>
      <w:r w:rsidR="009A0490" w:rsidRPr="002A3978">
        <w:rPr>
          <w:rFonts w:ascii="Arial" w:hAnsi="Arial" w:cs="Arial"/>
          <w:sz w:val="20"/>
          <w:szCs w:val="20"/>
        </w:rPr>
        <w:t xml:space="preserve"> </w:t>
      </w:r>
      <w:r w:rsidR="00994EE1" w:rsidRPr="005208C9">
        <w:rPr>
          <w:rFonts w:ascii="Arial" w:hAnsi="Arial" w:cs="Arial"/>
          <w:sz w:val="20"/>
          <w:szCs w:val="20"/>
        </w:rPr>
        <w:t xml:space="preserve">Povećanje </w:t>
      </w:r>
      <w:r w:rsidR="002C33EB">
        <w:rPr>
          <w:rFonts w:ascii="Arial" w:hAnsi="Arial" w:cs="Arial"/>
          <w:sz w:val="20"/>
          <w:szCs w:val="20"/>
        </w:rPr>
        <w:t>5</w:t>
      </w:r>
      <w:r w:rsidR="003116EB">
        <w:rPr>
          <w:rFonts w:ascii="Arial" w:hAnsi="Arial" w:cs="Arial"/>
          <w:sz w:val="20"/>
          <w:szCs w:val="20"/>
        </w:rPr>
        <w:t>X</w:t>
      </w:r>
      <w:r w:rsidR="00994EE1" w:rsidRPr="005208C9">
        <w:rPr>
          <w:rFonts w:ascii="Arial" w:hAnsi="Arial" w:cs="Arial"/>
          <w:sz w:val="20"/>
          <w:szCs w:val="20"/>
        </w:rPr>
        <w:t xml:space="preserve"> (A i B) i </w:t>
      </w:r>
      <w:r w:rsidR="002C33EB">
        <w:rPr>
          <w:rFonts w:ascii="Arial" w:hAnsi="Arial" w:cs="Arial"/>
          <w:sz w:val="20"/>
          <w:szCs w:val="20"/>
        </w:rPr>
        <w:t>2</w:t>
      </w:r>
      <w:r w:rsidR="003116EB">
        <w:rPr>
          <w:rFonts w:ascii="Arial" w:hAnsi="Arial" w:cs="Arial"/>
          <w:sz w:val="20"/>
          <w:szCs w:val="20"/>
        </w:rPr>
        <w:t>0X</w:t>
      </w:r>
      <w:r w:rsidR="00994EE1" w:rsidRPr="005208C9">
        <w:rPr>
          <w:rFonts w:ascii="Arial" w:hAnsi="Arial" w:cs="Arial"/>
          <w:sz w:val="20"/>
          <w:szCs w:val="20"/>
        </w:rPr>
        <w:t xml:space="preserve"> (C i D). XII – jezgra hypoglossusa; DMNX – dorzalna motorna jezgra vagusa; NTS – jezgra solitarnog trakta; AP – area postrema; CC – centralni kanal.</w:t>
      </w:r>
    </w:p>
    <w:p w14:paraId="1BAD3116" w14:textId="122035B4" w:rsidR="009A02A1" w:rsidRPr="009A02A1" w:rsidRDefault="006F445C" w:rsidP="005208C9">
      <w:pPr>
        <w:pStyle w:val="ListParagraph"/>
        <w:numPr>
          <w:ilvl w:val="1"/>
          <w:numId w:val="8"/>
        </w:numPr>
        <w:tabs>
          <w:tab w:val="left" w:pos="993"/>
        </w:tabs>
        <w:spacing w:line="360" w:lineRule="auto"/>
        <w:outlineLvl w:val="1"/>
        <w:rPr>
          <w:rFonts w:ascii="Arial" w:hAnsi="Arial" w:cs="Arial"/>
          <w:b/>
          <w:color w:val="000000"/>
          <w:shd w:val="clear" w:color="auto" w:fill="FFFFFF"/>
        </w:rPr>
      </w:pPr>
      <w:r w:rsidRPr="009A02A1">
        <w:rPr>
          <w:rFonts w:ascii="Arial" w:hAnsi="Arial" w:cs="Arial"/>
          <w:b/>
        </w:rPr>
        <w:t xml:space="preserve">Učinak STZ-icv na biokemijske promjene u </w:t>
      </w:r>
      <w:r w:rsidR="00511498">
        <w:rPr>
          <w:rFonts w:ascii="Arial" w:hAnsi="Arial" w:cs="Arial"/>
          <w:b/>
        </w:rPr>
        <w:t xml:space="preserve">DMNX </w:t>
      </w:r>
      <w:r w:rsidRPr="009A02A1">
        <w:rPr>
          <w:rFonts w:ascii="Arial" w:hAnsi="Arial" w:cs="Arial"/>
          <w:b/>
        </w:rPr>
        <w:t>štakora mjesec dana nakon tretmana</w:t>
      </w:r>
    </w:p>
    <w:p w14:paraId="1EF5EB7E" w14:textId="77777777" w:rsidR="00281433" w:rsidRDefault="002A3978" w:rsidP="005208C9">
      <w:pPr>
        <w:spacing w:line="360" w:lineRule="auto"/>
        <w:rPr>
          <w:rFonts w:ascii="Arial" w:hAnsi="Arial" w:cs="Arial"/>
          <w:sz w:val="20"/>
          <w:szCs w:val="20"/>
        </w:rPr>
      </w:pPr>
      <w:r w:rsidRPr="005208C9">
        <w:rPr>
          <w:rFonts w:ascii="Arial" w:hAnsi="Arial" w:cs="Arial"/>
          <w:sz w:val="20"/>
          <w:szCs w:val="20"/>
        </w:rPr>
        <w:br/>
        <w:t xml:space="preserve">Naši rezultati pokazuju da STZ-icv uzrokuje akutne biokemijske promjene u DMNX, ali nije poznato postoje li dugoročne posljedice ovih promjena te jesu li promjene vidljive i nakon dužeg vremenskog perioda. Kako bi to istražili analizirali smo biokemijske i metaboličke promjene u stanicama DMNX mjesec dana nakon STZ-icv. </w:t>
      </w:r>
    </w:p>
    <w:p w14:paraId="518C78C0" w14:textId="77777777" w:rsidR="00281433" w:rsidRPr="00511498" w:rsidRDefault="006F445C" w:rsidP="00281433">
      <w:pPr>
        <w:pStyle w:val="ListParagraph"/>
        <w:numPr>
          <w:ilvl w:val="2"/>
          <w:numId w:val="8"/>
        </w:numPr>
        <w:spacing w:line="360" w:lineRule="auto"/>
        <w:rPr>
          <w:rFonts w:ascii="Arial" w:hAnsi="Arial" w:cs="Arial"/>
          <w:b/>
        </w:rPr>
      </w:pPr>
      <w:r w:rsidRPr="00511498">
        <w:rPr>
          <w:rFonts w:ascii="Arial" w:hAnsi="Arial" w:cs="Arial"/>
          <w:b/>
        </w:rPr>
        <w:t xml:space="preserve">Promjena ekspresije </w:t>
      </w:r>
      <w:r w:rsidR="005C7670" w:rsidRPr="00511498">
        <w:rPr>
          <w:rFonts w:ascii="Arial" w:hAnsi="Arial" w:cs="Arial"/>
          <w:b/>
        </w:rPr>
        <w:t xml:space="preserve">proteina povezanih s inzulinskom signalizacijom </w:t>
      </w:r>
      <w:r w:rsidRPr="00511498">
        <w:rPr>
          <w:rFonts w:ascii="Arial" w:hAnsi="Arial" w:cs="Arial"/>
          <w:b/>
        </w:rPr>
        <w:t>u DMNX mjesec dana nakon STZ-icv</w:t>
      </w:r>
    </w:p>
    <w:p w14:paraId="6A4F8C2A" w14:textId="76E80863" w:rsidR="008E4F98" w:rsidRPr="00281433" w:rsidRDefault="00580A62" w:rsidP="006808AF">
      <w:pPr>
        <w:spacing w:line="360" w:lineRule="auto"/>
        <w:jc w:val="both"/>
        <w:rPr>
          <w:rFonts w:ascii="Arial" w:hAnsi="Arial" w:cs="Arial"/>
          <w:sz w:val="20"/>
          <w:szCs w:val="20"/>
        </w:rPr>
      </w:pPr>
      <w:r w:rsidRPr="00281433">
        <w:rPr>
          <w:rFonts w:ascii="Arial" w:hAnsi="Arial" w:cs="Arial"/>
          <w:sz w:val="20"/>
          <w:szCs w:val="20"/>
        </w:rPr>
        <w:br/>
      </w:r>
      <w:r w:rsidR="002A3978" w:rsidRPr="00281433">
        <w:rPr>
          <w:rFonts w:ascii="Arial" w:hAnsi="Arial" w:cs="Arial"/>
          <w:sz w:val="20"/>
          <w:szCs w:val="20"/>
        </w:rPr>
        <w:t xml:space="preserve">S obzirom da smo ranije pokazali da akutni tretman STZ-icv uzrokuje promjene imunoreaktivnosti IR, istražili smo postoji li razlika i mjesec dana nakon tretmana. </w:t>
      </w:r>
      <w:r w:rsidRPr="00281433">
        <w:rPr>
          <w:rFonts w:ascii="Arial" w:hAnsi="Arial" w:cs="Arial"/>
          <w:sz w:val="20"/>
          <w:szCs w:val="20"/>
        </w:rPr>
        <w:t xml:space="preserve">Za razliku od akutnog učinka, mjesec dana nakon tretmana STZ-icv, u stanicama DMNX tretiranih </w:t>
      </w:r>
      <w:r w:rsidR="006808AF">
        <w:rPr>
          <w:rFonts w:ascii="Arial" w:hAnsi="Arial" w:cs="Arial"/>
          <w:sz w:val="20"/>
          <w:szCs w:val="20"/>
        </w:rPr>
        <w:t>ži</w:t>
      </w:r>
      <w:r w:rsidR="00511498">
        <w:rPr>
          <w:rFonts w:ascii="Arial" w:hAnsi="Arial" w:cs="Arial"/>
          <w:sz w:val="20"/>
          <w:szCs w:val="20"/>
        </w:rPr>
        <w:t xml:space="preserve">votinja ekspresija IR </w:t>
      </w:r>
      <w:r w:rsidR="006808AF">
        <w:rPr>
          <w:rFonts w:ascii="Arial" w:hAnsi="Arial" w:cs="Arial"/>
          <w:sz w:val="20"/>
          <w:szCs w:val="20"/>
        </w:rPr>
        <w:t>smanjena</w:t>
      </w:r>
      <w:r w:rsidR="00511498">
        <w:rPr>
          <w:rFonts w:ascii="Arial" w:hAnsi="Arial" w:cs="Arial"/>
          <w:sz w:val="20"/>
          <w:szCs w:val="20"/>
        </w:rPr>
        <w:t xml:space="preserve"> je</w:t>
      </w:r>
      <w:r w:rsidR="006808AF">
        <w:rPr>
          <w:rFonts w:ascii="Arial" w:hAnsi="Arial" w:cs="Arial"/>
          <w:sz w:val="20"/>
          <w:szCs w:val="20"/>
        </w:rPr>
        <w:t xml:space="preserve"> </w:t>
      </w:r>
      <w:r w:rsidR="002A3978" w:rsidRPr="00281433">
        <w:rPr>
          <w:rFonts w:ascii="Arial" w:hAnsi="Arial" w:cs="Arial"/>
          <w:sz w:val="20"/>
          <w:szCs w:val="20"/>
        </w:rPr>
        <w:t>u usporedbi s kontrolnim životinjama (</w:t>
      </w:r>
      <w:r w:rsidR="005D05C6">
        <w:rPr>
          <w:rFonts w:ascii="Arial" w:hAnsi="Arial" w:cs="Arial"/>
          <w:sz w:val="20"/>
          <w:szCs w:val="20"/>
        </w:rPr>
        <w:t>S</w:t>
      </w:r>
      <w:r w:rsidR="002A3978" w:rsidRPr="00281433">
        <w:rPr>
          <w:rFonts w:ascii="Arial" w:hAnsi="Arial" w:cs="Arial"/>
          <w:sz w:val="20"/>
          <w:szCs w:val="20"/>
        </w:rPr>
        <w:t xml:space="preserve">lika </w:t>
      </w:r>
      <w:r w:rsidR="005D05C6">
        <w:rPr>
          <w:rFonts w:ascii="Arial" w:hAnsi="Arial" w:cs="Arial"/>
          <w:sz w:val="20"/>
          <w:szCs w:val="20"/>
        </w:rPr>
        <w:t>6</w:t>
      </w:r>
      <w:r w:rsidR="002A3978" w:rsidRPr="00281433">
        <w:rPr>
          <w:rFonts w:ascii="Arial" w:hAnsi="Arial" w:cs="Arial"/>
          <w:sz w:val="20"/>
          <w:szCs w:val="20"/>
        </w:rPr>
        <w:t xml:space="preserve">. A i B). Kako bi istražili funkcionalne posljedice smanjenja ekspresije </w:t>
      </w:r>
      <w:r w:rsidR="002A3978" w:rsidRPr="00281433">
        <w:rPr>
          <w:rFonts w:ascii="Arial" w:hAnsi="Arial" w:cs="Arial"/>
          <w:sz w:val="20"/>
          <w:szCs w:val="20"/>
        </w:rPr>
        <w:lastRenderedPageBreak/>
        <w:t>IR, analizirali smo fosforilaciju signalnog adapterskog proteina inzulinskog receptora -   supstrata inzulinskog receptora 1 (insulin receptor substrate 1;IRS1)</w:t>
      </w:r>
      <w:r w:rsidR="00511498">
        <w:rPr>
          <w:rFonts w:ascii="Arial" w:hAnsi="Arial" w:cs="Arial"/>
          <w:sz w:val="20"/>
          <w:szCs w:val="20"/>
        </w:rPr>
        <w:t xml:space="preserve">. </w:t>
      </w:r>
      <w:r w:rsidR="002A3978" w:rsidRPr="00281433">
        <w:rPr>
          <w:rFonts w:ascii="Arial" w:hAnsi="Arial" w:cs="Arial"/>
          <w:sz w:val="20"/>
          <w:szCs w:val="20"/>
        </w:rPr>
        <w:t>U stanicama DMNX, mjesec dana nakon STZ-icv</w:t>
      </w:r>
      <w:r w:rsidR="00511498">
        <w:rPr>
          <w:rFonts w:ascii="Arial" w:hAnsi="Arial" w:cs="Arial"/>
          <w:sz w:val="20"/>
          <w:szCs w:val="20"/>
        </w:rPr>
        <w:t>,</w:t>
      </w:r>
      <w:r w:rsidR="002A3978" w:rsidRPr="00281433">
        <w:rPr>
          <w:rFonts w:ascii="Arial" w:hAnsi="Arial" w:cs="Arial"/>
          <w:sz w:val="20"/>
          <w:szCs w:val="20"/>
        </w:rPr>
        <w:t xml:space="preserve"> nema značajne razlike u imunoreaktivnosti pIRS1 (</w:t>
      </w:r>
      <w:r w:rsidR="005D05C6">
        <w:rPr>
          <w:rFonts w:ascii="Arial" w:hAnsi="Arial" w:cs="Arial"/>
          <w:sz w:val="20"/>
          <w:szCs w:val="20"/>
        </w:rPr>
        <w:t>S</w:t>
      </w:r>
      <w:r w:rsidR="002A3978" w:rsidRPr="00281433">
        <w:rPr>
          <w:rFonts w:ascii="Arial" w:hAnsi="Arial" w:cs="Arial"/>
          <w:sz w:val="20"/>
          <w:szCs w:val="20"/>
        </w:rPr>
        <w:t xml:space="preserve">lika </w:t>
      </w:r>
      <w:r w:rsidR="005D05C6">
        <w:rPr>
          <w:rFonts w:ascii="Arial" w:hAnsi="Arial" w:cs="Arial"/>
          <w:sz w:val="20"/>
          <w:szCs w:val="20"/>
        </w:rPr>
        <w:t>6</w:t>
      </w:r>
      <w:r w:rsidR="002A3978" w:rsidRPr="00281433">
        <w:rPr>
          <w:rFonts w:ascii="Arial" w:hAnsi="Arial" w:cs="Arial"/>
          <w:sz w:val="20"/>
          <w:szCs w:val="20"/>
        </w:rPr>
        <w:t>. C i</w:t>
      </w:r>
      <w:r w:rsidR="00994EE1" w:rsidRPr="00281433">
        <w:rPr>
          <w:rFonts w:ascii="Arial" w:hAnsi="Arial" w:cs="Arial"/>
          <w:sz w:val="20"/>
          <w:szCs w:val="20"/>
        </w:rPr>
        <w:t xml:space="preserve"> D).</w:t>
      </w:r>
    </w:p>
    <w:p w14:paraId="08C10585" w14:textId="77777777" w:rsidR="008E4F98" w:rsidRDefault="00D44F41">
      <w:r>
        <w:rPr>
          <w:noProof/>
          <w:lang w:val="en-GB" w:eastAsia="en-GB"/>
        </w:rPr>
        <w:drawing>
          <wp:inline distT="0" distB="0" distL="0" distR="0" wp14:anchorId="429FA7E6" wp14:editId="01F90B89">
            <wp:extent cx="5029200" cy="49758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4975860"/>
                    </a:xfrm>
                    <a:prstGeom prst="rect">
                      <a:avLst/>
                    </a:prstGeom>
                    <a:noFill/>
                    <a:ln>
                      <a:noFill/>
                    </a:ln>
                  </pic:spPr>
                </pic:pic>
              </a:graphicData>
            </a:graphic>
          </wp:inline>
        </w:drawing>
      </w:r>
    </w:p>
    <w:p w14:paraId="37FB886B" w14:textId="6FAC68A1" w:rsidR="006808AF" w:rsidRDefault="00994EE1" w:rsidP="00511498">
      <w:pPr>
        <w:spacing w:line="240" w:lineRule="auto"/>
        <w:jc w:val="both"/>
        <w:rPr>
          <w:rFonts w:ascii="Arial" w:hAnsi="Arial" w:cs="Arial"/>
          <w:sz w:val="20"/>
          <w:szCs w:val="20"/>
        </w:rPr>
      </w:pPr>
      <w:r>
        <w:rPr>
          <w:rFonts w:ascii="Arial" w:hAnsi="Arial" w:cs="Arial"/>
          <w:sz w:val="20"/>
          <w:szCs w:val="20"/>
        </w:rPr>
        <w:t>Slika 6</w:t>
      </w:r>
      <w:r w:rsidR="002A3978" w:rsidRPr="002A3978">
        <w:rPr>
          <w:rFonts w:ascii="Arial" w:hAnsi="Arial" w:cs="Arial"/>
          <w:sz w:val="20"/>
          <w:szCs w:val="20"/>
        </w:rPr>
        <w:t xml:space="preserve">. </w:t>
      </w:r>
      <w:r>
        <w:rPr>
          <w:rFonts w:ascii="Arial" w:hAnsi="Arial" w:cs="Arial"/>
          <w:sz w:val="20"/>
          <w:szCs w:val="20"/>
        </w:rPr>
        <w:t>Imunofluorescentni p</w:t>
      </w:r>
      <w:r w:rsidRPr="002A3978">
        <w:rPr>
          <w:rFonts w:ascii="Arial" w:hAnsi="Arial" w:cs="Arial"/>
          <w:sz w:val="20"/>
          <w:szCs w:val="20"/>
        </w:rPr>
        <w:t xml:space="preserve">rikaz </w:t>
      </w:r>
      <w:r>
        <w:rPr>
          <w:rFonts w:ascii="Arial" w:hAnsi="Arial" w:cs="Arial"/>
          <w:sz w:val="20"/>
          <w:szCs w:val="20"/>
        </w:rPr>
        <w:t xml:space="preserve">ekspresije inzulinskog receptora (IR) (A i B) (zeleno obojenje </w:t>
      </w:r>
      <w:r w:rsidRPr="002A3978">
        <w:rPr>
          <w:rFonts w:ascii="Arial" w:hAnsi="Arial" w:cs="Arial"/>
          <w:sz w:val="20"/>
          <w:szCs w:val="20"/>
        </w:rPr>
        <w:t>označeno strelicama</w:t>
      </w:r>
      <w:r>
        <w:rPr>
          <w:rFonts w:ascii="Arial" w:hAnsi="Arial" w:cs="Arial"/>
          <w:sz w:val="20"/>
          <w:szCs w:val="20"/>
        </w:rPr>
        <w:t>) i pIRS1 (crveno obojenje označeno strelicama)</w:t>
      </w:r>
      <w:r w:rsidRPr="002A3978">
        <w:rPr>
          <w:rFonts w:ascii="Arial" w:hAnsi="Arial" w:cs="Arial"/>
          <w:sz w:val="20"/>
          <w:szCs w:val="20"/>
        </w:rPr>
        <w:t xml:space="preserve"> </w:t>
      </w:r>
      <w:r>
        <w:rPr>
          <w:rFonts w:ascii="Arial" w:hAnsi="Arial" w:cs="Arial"/>
          <w:sz w:val="20"/>
          <w:szCs w:val="20"/>
        </w:rPr>
        <w:t>(C i D)</w:t>
      </w:r>
      <w:r w:rsidR="006808AF">
        <w:rPr>
          <w:rFonts w:ascii="Arial" w:hAnsi="Arial" w:cs="Arial"/>
          <w:sz w:val="20"/>
          <w:szCs w:val="20"/>
        </w:rPr>
        <w:t xml:space="preserve"> </w:t>
      </w:r>
      <w:r w:rsidRPr="002A3978">
        <w:rPr>
          <w:rFonts w:ascii="Arial" w:hAnsi="Arial" w:cs="Arial"/>
          <w:sz w:val="20"/>
          <w:szCs w:val="20"/>
        </w:rPr>
        <w:t>reprezentativnog prereza moždanog debla štakora kontrolne životinje (</w:t>
      </w:r>
      <w:r>
        <w:rPr>
          <w:rFonts w:ascii="Arial" w:hAnsi="Arial" w:cs="Arial"/>
          <w:sz w:val="20"/>
          <w:szCs w:val="20"/>
        </w:rPr>
        <w:t>CTR) (</w:t>
      </w:r>
      <w:r w:rsidRPr="002A3978">
        <w:rPr>
          <w:rFonts w:ascii="Arial" w:hAnsi="Arial" w:cs="Arial"/>
          <w:sz w:val="20"/>
          <w:szCs w:val="20"/>
        </w:rPr>
        <w:t>A</w:t>
      </w:r>
      <w:r>
        <w:rPr>
          <w:rFonts w:ascii="Arial" w:hAnsi="Arial" w:cs="Arial"/>
          <w:sz w:val="20"/>
          <w:szCs w:val="20"/>
        </w:rPr>
        <w:t xml:space="preserve"> i C</w:t>
      </w:r>
      <w:r w:rsidRPr="002A3978">
        <w:rPr>
          <w:rFonts w:ascii="Arial" w:hAnsi="Arial" w:cs="Arial"/>
          <w:sz w:val="20"/>
          <w:szCs w:val="20"/>
        </w:rPr>
        <w:t>) i STZ-icv tretirane životinje</w:t>
      </w:r>
      <w:r>
        <w:rPr>
          <w:rFonts w:ascii="Arial" w:hAnsi="Arial" w:cs="Arial"/>
          <w:sz w:val="20"/>
          <w:szCs w:val="20"/>
        </w:rPr>
        <w:t xml:space="preserve"> (STZ)</w:t>
      </w:r>
      <w:r w:rsidRPr="002A3978">
        <w:rPr>
          <w:rFonts w:ascii="Arial" w:hAnsi="Arial" w:cs="Arial"/>
          <w:sz w:val="20"/>
          <w:szCs w:val="20"/>
        </w:rPr>
        <w:t xml:space="preserve"> (B</w:t>
      </w:r>
      <w:r>
        <w:rPr>
          <w:rFonts w:ascii="Arial" w:hAnsi="Arial" w:cs="Arial"/>
          <w:sz w:val="20"/>
          <w:szCs w:val="20"/>
        </w:rPr>
        <w:t xml:space="preserve"> i D</w:t>
      </w:r>
      <w:r w:rsidRPr="002A3978">
        <w:rPr>
          <w:rFonts w:ascii="Arial" w:hAnsi="Arial" w:cs="Arial"/>
          <w:sz w:val="20"/>
          <w:szCs w:val="20"/>
        </w:rPr>
        <w:t>)</w:t>
      </w:r>
      <w:r>
        <w:rPr>
          <w:rFonts w:ascii="Arial" w:hAnsi="Arial" w:cs="Arial"/>
          <w:sz w:val="20"/>
          <w:szCs w:val="20"/>
        </w:rPr>
        <w:t xml:space="preserve">. </w:t>
      </w:r>
      <w:r w:rsidRPr="002A3978">
        <w:rPr>
          <w:rFonts w:ascii="Arial" w:hAnsi="Arial" w:cs="Arial"/>
          <w:sz w:val="20"/>
          <w:szCs w:val="20"/>
        </w:rPr>
        <w:t xml:space="preserve"> Povećanje </w:t>
      </w:r>
      <w:r w:rsidR="002C33EB">
        <w:rPr>
          <w:rFonts w:ascii="Arial" w:hAnsi="Arial" w:cs="Arial"/>
          <w:sz w:val="20"/>
          <w:szCs w:val="20"/>
        </w:rPr>
        <w:t>2</w:t>
      </w:r>
      <w:r w:rsidR="006808AF">
        <w:rPr>
          <w:rFonts w:ascii="Arial" w:hAnsi="Arial" w:cs="Arial"/>
          <w:sz w:val="20"/>
          <w:szCs w:val="20"/>
        </w:rPr>
        <w:t>0X;</w:t>
      </w:r>
      <w:r w:rsidRPr="00994EE1">
        <w:rPr>
          <w:rFonts w:ascii="Arial" w:hAnsi="Arial" w:cs="Arial"/>
          <w:sz w:val="20"/>
          <w:szCs w:val="20"/>
        </w:rPr>
        <w:t xml:space="preserve"> </w:t>
      </w:r>
      <w:r w:rsidRPr="005208C9">
        <w:rPr>
          <w:rFonts w:ascii="Arial" w:hAnsi="Arial" w:cs="Arial"/>
          <w:sz w:val="20"/>
          <w:szCs w:val="20"/>
        </w:rPr>
        <w:t>XII – jezgra hypoglossusa; DMNX – dorzalna motorna jezgra vagusa; NTS – jez</w:t>
      </w:r>
      <w:r>
        <w:rPr>
          <w:rFonts w:ascii="Arial" w:hAnsi="Arial" w:cs="Arial"/>
          <w:sz w:val="20"/>
          <w:szCs w:val="20"/>
        </w:rPr>
        <w:t>gra solitarnog trakta</w:t>
      </w:r>
      <w:r w:rsidRPr="005208C9">
        <w:rPr>
          <w:rFonts w:ascii="Arial" w:hAnsi="Arial" w:cs="Arial"/>
          <w:sz w:val="20"/>
          <w:szCs w:val="20"/>
        </w:rPr>
        <w:t>; CC – centralni kanal.</w:t>
      </w:r>
    </w:p>
    <w:p w14:paraId="0F555D3C" w14:textId="77777777" w:rsidR="006808AF" w:rsidRPr="00511498" w:rsidRDefault="002A3978" w:rsidP="006808AF">
      <w:pPr>
        <w:pStyle w:val="ListParagraph"/>
        <w:numPr>
          <w:ilvl w:val="2"/>
          <w:numId w:val="8"/>
        </w:numPr>
        <w:spacing w:line="360" w:lineRule="auto"/>
        <w:rPr>
          <w:rFonts w:ascii="Arial" w:hAnsi="Arial" w:cs="Arial"/>
          <w:b/>
        </w:rPr>
      </w:pPr>
      <w:r w:rsidRPr="00511498">
        <w:rPr>
          <w:rFonts w:ascii="Arial" w:hAnsi="Arial" w:cs="Arial"/>
          <w:b/>
        </w:rPr>
        <w:t xml:space="preserve">Promjena ekspresije proteina povezanih s regulacijom metabolizma </w:t>
      </w:r>
      <w:r w:rsidR="006F445C" w:rsidRPr="00511498">
        <w:rPr>
          <w:rFonts w:ascii="Arial" w:hAnsi="Arial" w:cs="Arial"/>
          <w:b/>
        </w:rPr>
        <w:t>u DMNX mjesec dana nakon STZ-icv</w:t>
      </w:r>
    </w:p>
    <w:p w14:paraId="6C0F460D" w14:textId="5A353D2F" w:rsidR="00183272" w:rsidRPr="006808AF" w:rsidRDefault="002A3978" w:rsidP="006808AF">
      <w:pPr>
        <w:spacing w:line="360" w:lineRule="auto"/>
        <w:jc w:val="both"/>
        <w:rPr>
          <w:rFonts w:ascii="Arial" w:hAnsi="Arial" w:cs="Arial"/>
          <w:sz w:val="24"/>
          <w:szCs w:val="24"/>
        </w:rPr>
      </w:pPr>
      <w:r w:rsidRPr="006808AF">
        <w:rPr>
          <w:rFonts w:ascii="Arial" w:hAnsi="Arial" w:cs="Arial"/>
          <w:sz w:val="20"/>
          <w:szCs w:val="20"/>
        </w:rPr>
        <w:br/>
        <w:t xml:space="preserve">S obzirom da dobiveni rezultati govore u prilog poremećene inzulinske signalizacije u DMNX odlučili smo istražiti postoji li razlika u ekspresiji nizvodnih metaboličkih proteina koji sudjeluju u regulaciji IR i inzulinske osjetljivosti. U stanicama DMNX, mjesec dana nakon STZ-icv, nema očite razlike u </w:t>
      </w:r>
      <w:r w:rsidR="002C33EB">
        <w:rPr>
          <w:rFonts w:ascii="Arial" w:hAnsi="Arial" w:cs="Arial"/>
          <w:sz w:val="20"/>
          <w:szCs w:val="20"/>
        </w:rPr>
        <w:t xml:space="preserve">imunoreaktivnosti </w:t>
      </w:r>
      <w:r w:rsidRPr="006808AF">
        <w:rPr>
          <w:rFonts w:ascii="Arial" w:hAnsi="Arial" w:cs="Arial"/>
          <w:sz w:val="20"/>
          <w:szCs w:val="20"/>
        </w:rPr>
        <w:t>fosforilirane P70S6 kinaze (</w:t>
      </w:r>
      <w:r w:rsidR="002C33EB">
        <w:rPr>
          <w:rFonts w:ascii="Arial" w:hAnsi="Arial" w:cs="Arial"/>
          <w:sz w:val="20"/>
          <w:szCs w:val="20"/>
        </w:rPr>
        <w:t>S</w:t>
      </w:r>
      <w:r w:rsidRPr="006808AF">
        <w:rPr>
          <w:rFonts w:ascii="Arial" w:hAnsi="Arial" w:cs="Arial"/>
          <w:sz w:val="20"/>
          <w:szCs w:val="20"/>
        </w:rPr>
        <w:t xml:space="preserve">lika </w:t>
      </w:r>
      <w:r w:rsidR="002C33EB">
        <w:rPr>
          <w:rFonts w:ascii="Arial" w:hAnsi="Arial" w:cs="Arial"/>
          <w:sz w:val="20"/>
          <w:szCs w:val="20"/>
        </w:rPr>
        <w:t>7</w:t>
      </w:r>
      <w:r w:rsidRPr="006808AF">
        <w:rPr>
          <w:rFonts w:ascii="Arial" w:hAnsi="Arial" w:cs="Arial"/>
          <w:sz w:val="20"/>
          <w:szCs w:val="20"/>
        </w:rPr>
        <w:t xml:space="preserve">. A i B) niti u količini fosforiliranog ULK1 proteina (slika </w:t>
      </w:r>
      <w:r w:rsidR="002C33EB">
        <w:rPr>
          <w:rFonts w:ascii="Arial" w:hAnsi="Arial" w:cs="Arial"/>
          <w:sz w:val="20"/>
          <w:szCs w:val="20"/>
        </w:rPr>
        <w:t>7</w:t>
      </w:r>
      <w:r w:rsidRPr="006808AF">
        <w:rPr>
          <w:rFonts w:ascii="Arial" w:hAnsi="Arial" w:cs="Arial"/>
          <w:sz w:val="20"/>
          <w:szCs w:val="20"/>
        </w:rPr>
        <w:t xml:space="preserve">. C i D). Imunoreaktivnost na fosforilirane kinaze regulirane ekstracelularnim signalom </w:t>
      </w:r>
      <w:r w:rsidRPr="006808AF">
        <w:rPr>
          <w:rFonts w:ascii="Arial" w:hAnsi="Arial" w:cs="Arial"/>
          <w:sz w:val="20"/>
          <w:szCs w:val="20"/>
        </w:rPr>
        <w:lastRenderedPageBreak/>
        <w:t>(</w:t>
      </w:r>
      <w:r w:rsidRPr="006808AF">
        <w:rPr>
          <w:rFonts w:ascii="Arial" w:hAnsi="Arial" w:cs="Arial"/>
          <w:bCs/>
          <w:sz w:val="20"/>
          <w:szCs w:val="20"/>
        </w:rPr>
        <w:t xml:space="preserve">extracellular signal–regulated kinase; ERK) povećana je u DMNX nakon STZ-icv tretmana. </w:t>
      </w:r>
      <w:r w:rsidRPr="006808AF">
        <w:rPr>
          <w:rFonts w:ascii="Arial" w:hAnsi="Arial" w:cs="Arial"/>
          <w:sz w:val="20"/>
          <w:szCs w:val="20"/>
        </w:rPr>
        <w:br/>
      </w:r>
    </w:p>
    <w:p w14:paraId="20FF450E" w14:textId="77777777" w:rsidR="006F445C" w:rsidRDefault="00DF511F">
      <w:r>
        <w:rPr>
          <w:noProof/>
          <w:lang w:val="en-GB" w:eastAsia="en-GB"/>
        </w:rPr>
        <w:drawing>
          <wp:inline distT="0" distB="0" distL="0" distR="0" wp14:anchorId="4A3C263D" wp14:editId="0093D718">
            <wp:extent cx="4572000" cy="64312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6431280"/>
                    </a:xfrm>
                    <a:prstGeom prst="rect">
                      <a:avLst/>
                    </a:prstGeom>
                    <a:noFill/>
                    <a:ln>
                      <a:noFill/>
                    </a:ln>
                  </pic:spPr>
                </pic:pic>
              </a:graphicData>
            </a:graphic>
          </wp:inline>
        </w:drawing>
      </w:r>
    </w:p>
    <w:p w14:paraId="68F8C4A0" w14:textId="2A9C1621" w:rsidR="00C930F2" w:rsidRDefault="00994EE1" w:rsidP="002C33EB">
      <w:pPr>
        <w:spacing w:line="240" w:lineRule="auto"/>
        <w:jc w:val="both"/>
        <w:rPr>
          <w:rFonts w:ascii="Arial" w:hAnsi="Arial" w:cs="Arial"/>
          <w:sz w:val="20"/>
          <w:szCs w:val="20"/>
        </w:rPr>
      </w:pPr>
      <w:r>
        <w:rPr>
          <w:rFonts w:ascii="Arial" w:hAnsi="Arial" w:cs="Arial"/>
          <w:sz w:val="20"/>
          <w:szCs w:val="20"/>
        </w:rPr>
        <w:t>Slika 7</w:t>
      </w:r>
      <w:r w:rsidR="002A3978" w:rsidRPr="002A3978">
        <w:rPr>
          <w:rFonts w:ascii="Arial" w:hAnsi="Arial" w:cs="Arial"/>
          <w:sz w:val="20"/>
          <w:szCs w:val="20"/>
        </w:rPr>
        <w:t xml:space="preserve">. </w:t>
      </w:r>
      <w:r>
        <w:rPr>
          <w:rFonts w:ascii="Arial" w:hAnsi="Arial" w:cs="Arial"/>
          <w:sz w:val="20"/>
          <w:szCs w:val="20"/>
        </w:rPr>
        <w:t>Imunofluorescentni p</w:t>
      </w:r>
      <w:r w:rsidRPr="002A3978">
        <w:rPr>
          <w:rFonts w:ascii="Arial" w:hAnsi="Arial" w:cs="Arial"/>
          <w:sz w:val="20"/>
          <w:szCs w:val="20"/>
        </w:rPr>
        <w:t xml:space="preserve">rikaz </w:t>
      </w:r>
      <w:r>
        <w:rPr>
          <w:rFonts w:ascii="Arial" w:hAnsi="Arial" w:cs="Arial"/>
          <w:sz w:val="20"/>
          <w:szCs w:val="20"/>
        </w:rPr>
        <w:t xml:space="preserve">ekspresije pP70S6K (A i B) (crveno obojenje </w:t>
      </w:r>
      <w:r w:rsidRPr="002A3978">
        <w:rPr>
          <w:rFonts w:ascii="Arial" w:hAnsi="Arial" w:cs="Arial"/>
          <w:sz w:val="20"/>
          <w:szCs w:val="20"/>
        </w:rPr>
        <w:t>označeno strelicama</w:t>
      </w:r>
      <w:r>
        <w:rPr>
          <w:rFonts w:ascii="Arial" w:hAnsi="Arial" w:cs="Arial"/>
          <w:sz w:val="20"/>
          <w:szCs w:val="20"/>
        </w:rPr>
        <w:t>), pULK1 (crveno obojenje označeno strelicama) (C i D) i pERK1/2</w:t>
      </w:r>
      <w:r w:rsidRPr="002A3978">
        <w:rPr>
          <w:rFonts w:ascii="Arial" w:hAnsi="Arial" w:cs="Arial"/>
          <w:sz w:val="20"/>
          <w:szCs w:val="20"/>
        </w:rPr>
        <w:t xml:space="preserve"> </w:t>
      </w:r>
      <w:r>
        <w:rPr>
          <w:rFonts w:ascii="Arial" w:hAnsi="Arial" w:cs="Arial"/>
          <w:sz w:val="20"/>
          <w:szCs w:val="20"/>
        </w:rPr>
        <w:t xml:space="preserve">(crveno obojenje označeno strelicama) (E i F) </w:t>
      </w:r>
      <w:r w:rsidRPr="002A3978">
        <w:rPr>
          <w:rFonts w:ascii="Arial" w:hAnsi="Arial" w:cs="Arial"/>
          <w:sz w:val="20"/>
          <w:szCs w:val="20"/>
        </w:rPr>
        <w:t>reprezentativnog prereza moždanog debla štakora kontrolne životinje (</w:t>
      </w:r>
      <w:r>
        <w:rPr>
          <w:rFonts w:ascii="Arial" w:hAnsi="Arial" w:cs="Arial"/>
          <w:sz w:val="20"/>
          <w:szCs w:val="20"/>
        </w:rPr>
        <w:t>CTR) (</w:t>
      </w:r>
      <w:r w:rsidRPr="002A3978">
        <w:rPr>
          <w:rFonts w:ascii="Arial" w:hAnsi="Arial" w:cs="Arial"/>
          <w:sz w:val="20"/>
          <w:szCs w:val="20"/>
        </w:rPr>
        <w:t>A</w:t>
      </w:r>
      <w:r>
        <w:rPr>
          <w:rFonts w:ascii="Arial" w:hAnsi="Arial" w:cs="Arial"/>
          <w:sz w:val="20"/>
          <w:szCs w:val="20"/>
        </w:rPr>
        <w:t>,C,E</w:t>
      </w:r>
      <w:r w:rsidRPr="002A3978">
        <w:rPr>
          <w:rFonts w:ascii="Arial" w:hAnsi="Arial" w:cs="Arial"/>
          <w:sz w:val="20"/>
          <w:szCs w:val="20"/>
        </w:rPr>
        <w:t>) i STZ-icv tretirane životinje</w:t>
      </w:r>
      <w:r>
        <w:rPr>
          <w:rFonts w:ascii="Arial" w:hAnsi="Arial" w:cs="Arial"/>
          <w:sz w:val="20"/>
          <w:szCs w:val="20"/>
        </w:rPr>
        <w:t xml:space="preserve"> (STZ)</w:t>
      </w:r>
      <w:r w:rsidRPr="002A3978">
        <w:rPr>
          <w:rFonts w:ascii="Arial" w:hAnsi="Arial" w:cs="Arial"/>
          <w:sz w:val="20"/>
          <w:szCs w:val="20"/>
        </w:rPr>
        <w:t xml:space="preserve"> (B</w:t>
      </w:r>
      <w:r>
        <w:rPr>
          <w:rFonts w:ascii="Arial" w:hAnsi="Arial" w:cs="Arial"/>
          <w:sz w:val="20"/>
          <w:szCs w:val="20"/>
        </w:rPr>
        <w:t>,D,F</w:t>
      </w:r>
      <w:r w:rsidRPr="002A3978">
        <w:rPr>
          <w:rFonts w:ascii="Arial" w:hAnsi="Arial" w:cs="Arial"/>
          <w:sz w:val="20"/>
          <w:szCs w:val="20"/>
        </w:rPr>
        <w:t>)</w:t>
      </w:r>
      <w:r>
        <w:rPr>
          <w:rFonts w:ascii="Arial" w:hAnsi="Arial" w:cs="Arial"/>
          <w:sz w:val="20"/>
          <w:szCs w:val="20"/>
        </w:rPr>
        <w:t xml:space="preserve">. </w:t>
      </w:r>
      <w:r w:rsidRPr="002A3978">
        <w:rPr>
          <w:rFonts w:ascii="Arial" w:hAnsi="Arial" w:cs="Arial"/>
          <w:sz w:val="20"/>
          <w:szCs w:val="20"/>
        </w:rPr>
        <w:t xml:space="preserve"> Povećanje </w:t>
      </w:r>
      <w:r w:rsidR="002C33EB">
        <w:rPr>
          <w:rFonts w:ascii="Arial" w:hAnsi="Arial" w:cs="Arial"/>
          <w:sz w:val="20"/>
          <w:szCs w:val="20"/>
        </w:rPr>
        <w:t>20X</w:t>
      </w:r>
      <w:r w:rsidRPr="00994EE1">
        <w:rPr>
          <w:rFonts w:ascii="Arial" w:hAnsi="Arial" w:cs="Arial"/>
          <w:sz w:val="20"/>
          <w:szCs w:val="20"/>
        </w:rPr>
        <w:t xml:space="preserve"> </w:t>
      </w:r>
      <w:r w:rsidRPr="005208C9">
        <w:rPr>
          <w:rFonts w:ascii="Arial" w:hAnsi="Arial" w:cs="Arial"/>
          <w:sz w:val="20"/>
          <w:szCs w:val="20"/>
        </w:rPr>
        <w:t>XII – jezgra hypoglossusa; DMNX – dorzalna motorna jezgra vagusa; NTS – jez</w:t>
      </w:r>
      <w:r>
        <w:rPr>
          <w:rFonts w:ascii="Arial" w:hAnsi="Arial" w:cs="Arial"/>
          <w:sz w:val="20"/>
          <w:szCs w:val="20"/>
        </w:rPr>
        <w:t>gra solitarnog trakta</w:t>
      </w:r>
      <w:r w:rsidRPr="005208C9">
        <w:rPr>
          <w:rFonts w:ascii="Arial" w:hAnsi="Arial" w:cs="Arial"/>
          <w:sz w:val="20"/>
          <w:szCs w:val="20"/>
        </w:rPr>
        <w:t>; CC – centralni kanal.</w:t>
      </w:r>
    </w:p>
    <w:p w14:paraId="3DF00918" w14:textId="4EC3931B" w:rsidR="00C930F2" w:rsidRDefault="00C930F2" w:rsidP="002C33EB">
      <w:pPr>
        <w:spacing w:line="240" w:lineRule="auto"/>
        <w:jc w:val="both"/>
        <w:rPr>
          <w:rFonts w:ascii="Arial" w:hAnsi="Arial" w:cs="Arial"/>
          <w:sz w:val="20"/>
          <w:szCs w:val="20"/>
        </w:rPr>
      </w:pPr>
    </w:p>
    <w:p w14:paraId="3FEF5BA2" w14:textId="77777777" w:rsidR="006143D1" w:rsidRDefault="006143D1" w:rsidP="002C33EB">
      <w:pPr>
        <w:spacing w:line="240" w:lineRule="auto"/>
        <w:jc w:val="both"/>
        <w:rPr>
          <w:rFonts w:ascii="Arial" w:hAnsi="Arial" w:cs="Arial"/>
          <w:sz w:val="20"/>
          <w:szCs w:val="20"/>
        </w:rPr>
      </w:pPr>
    </w:p>
    <w:p w14:paraId="2AEF5B70" w14:textId="77777777" w:rsidR="00C930F2" w:rsidRPr="00511498" w:rsidRDefault="00C930F2" w:rsidP="00C930F2">
      <w:pPr>
        <w:pStyle w:val="ListParagraph"/>
        <w:numPr>
          <w:ilvl w:val="2"/>
          <w:numId w:val="8"/>
        </w:numPr>
        <w:spacing w:line="360" w:lineRule="auto"/>
        <w:rPr>
          <w:rFonts w:ascii="Arial" w:hAnsi="Arial" w:cs="Arial"/>
          <w:b/>
          <w:sz w:val="20"/>
          <w:szCs w:val="20"/>
        </w:rPr>
      </w:pPr>
      <w:r w:rsidRPr="00511498">
        <w:rPr>
          <w:rFonts w:ascii="Arial" w:hAnsi="Arial" w:cs="Arial"/>
          <w:b/>
        </w:rPr>
        <w:lastRenderedPageBreak/>
        <w:t>P</w:t>
      </w:r>
      <w:r w:rsidR="001C6182" w:rsidRPr="00511498">
        <w:rPr>
          <w:rFonts w:ascii="Arial" w:hAnsi="Arial" w:cs="Arial"/>
          <w:b/>
        </w:rPr>
        <w:t xml:space="preserve">romjena ekspresije </w:t>
      </w:r>
      <w:r w:rsidR="0075238D" w:rsidRPr="00511498">
        <w:rPr>
          <w:rFonts w:ascii="Arial" w:hAnsi="Arial" w:cs="Arial"/>
          <w:b/>
        </w:rPr>
        <w:t>transportera za glukozu</w:t>
      </w:r>
      <w:r w:rsidR="001C6182" w:rsidRPr="00511498">
        <w:rPr>
          <w:rFonts w:ascii="Arial" w:hAnsi="Arial" w:cs="Arial"/>
          <w:b/>
        </w:rPr>
        <w:t xml:space="preserve"> u DMNX mjesec dana nakon STZ-icv</w:t>
      </w:r>
    </w:p>
    <w:p w14:paraId="7C08E5F3" w14:textId="680158B4" w:rsidR="00396D9A" w:rsidRPr="00C930F2" w:rsidRDefault="003E1F34" w:rsidP="00C930F2">
      <w:pPr>
        <w:spacing w:line="360" w:lineRule="auto"/>
        <w:rPr>
          <w:rFonts w:ascii="Arial" w:hAnsi="Arial" w:cs="Arial"/>
          <w:sz w:val="20"/>
          <w:szCs w:val="20"/>
        </w:rPr>
      </w:pPr>
      <w:r w:rsidRPr="00C930F2">
        <w:rPr>
          <w:rFonts w:ascii="Arial" w:hAnsi="Arial" w:cs="Arial"/>
          <w:sz w:val="20"/>
          <w:szCs w:val="20"/>
        </w:rPr>
        <w:t xml:space="preserve">Kako dobiveni rezultati ukazuju na moguću inzulinsku rezistenciju i disregulaciju metaboličkih puteva usko povezanih s regulacijom transporta glukoze, istražili smo postoje li razlike u </w:t>
      </w:r>
      <w:r w:rsidR="0061539B" w:rsidRPr="00C930F2">
        <w:rPr>
          <w:rFonts w:ascii="Arial" w:hAnsi="Arial" w:cs="Arial"/>
          <w:sz w:val="20"/>
          <w:szCs w:val="20"/>
        </w:rPr>
        <w:t>ekspresiji transportera za glukozu u stanicama DMNX. Mjesec dana nakon STZ-icv smanjena je ekspresija GLUT3 u stanicama DMNX (</w:t>
      </w:r>
      <w:r w:rsidR="00C930F2">
        <w:rPr>
          <w:rFonts w:ascii="Arial" w:hAnsi="Arial" w:cs="Arial"/>
          <w:sz w:val="20"/>
          <w:szCs w:val="20"/>
        </w:rPr>
        <w:t>S</w:t>
      </w:r>
      <w:r w:rsidR="0061539B" w:rsidRPr="00C930F2">
        <w:rPr>
          <w:rFonts w:ascii="Arial" w:hAnsi="Arial" w:cs="Arial"/>
          <w:sz w:val="20"/>
          <w:szCs w:val="20"/>
        </w:rPr>
        <w:t xml:space="preserve">lika </w:t>
      </w:r>
      <w:r w:rsidR="00C930F2">
        <w:rPr>
          <w:rFonts w:ascii="Arial" w:hAnsi="Arial" w:cs="Arial"/>
          <w:sz w:val="20"/>
          <w:szCs w:val="20"/>
        </w:rPr>
        <w:t>8</w:t>
      </w:r>
      <w:r w:rsidR="0061539B" w:rsidRPr="00C930F2">
        <w:rPr>
          <w:rFonts w:ascii="Arial" w:hAnsi="Arial" w:cs="Arial"/>
          <w:sz w:val="20"/>
          <w:szCs w:val="20"/>
        </w:rPr>
        <w:t xml:space="preserve">. A i B), </w:t>
      </w:r>
      <w:r w:rsidR="00511498">
        <w:rPr>
          <w:rFonts w:ascii="Arial" w:hAnsi="Arial" w:cs="Arial"/>
          <w:sz w:val="20"/>
          <w:szCs w:val="20"/>
        </w:rPr>
        <w:t>dok je</w:t>
      </w:r>
      <w:r w:rsidR="0061539B" w:rsidRPr="00C930F2">
        <w:rPr>
          <w:rFonts w:ascii="Arial" w:hAnsi="Arial" w:cs="Arial"/>
          <w:sz w:val="20"/>
          <w:szCs w:val="20"/>
        </w:rPr>
        <w:t xml:space="preserve"> ekspresija GLUT4 povećana (</w:t>
      </w:r>
      <w:r w:rsidR="00C930F2">
        <w:rPr>
          <w:rFonts w:ascii="Arial" w:hAnsi="Arial" w:cs="Arial"/>
          <w:sz w:val="20"/>
          <w:szCs w:val="20"/>
        </w:rPr>
        <w:t>S</w:t>
      </w:r>
      <w:r w:rsidR="0061539B" w:rsidRPr="00C930F2">
        <w:rPr>
          <w:rFonts w:ascii="Arial" w:hAnsi="Arial" w:cs="Arial"/>
          <w:sz w:val="20"/>
          <w:szCs w:val="20"/>
        </w:rPr>
        <w:t xml:space="preserve">lika </w:t>
      </w:r>
      <w:r w:rsidR="00C930F2">
        <w:rPr>
          <w:rFonts w:ascii="Arial" w:hAnsi="Arial" w:cs="Arial"/>
          <w:sz w:val="20"/>
          <w:szCs w:val="20"/>
        </w:rPr>
        <w:t>8</w:t>
      </w:r>
      <w:r w:rsidR="0061539B" w:rsidRPr="00C930F2">
        <w:rPr>
          <w:rFonts w:ascii="Arial" w:hAnsi="Arial" w:cs="Arial"/>
          <w:sz w:val="20"/>
          <w:szCs w:val="20"/>
        </w:rPr>
        <w:t>. C i D).</w:t>
      </w:r>
      <w:r w:rsidR="001C6182">
        <w:br/>
      </w:r>
      <w:r w:rsidR="00063124">
        <w:rPr>
          <w:noProof/>
          <w:lang w:val="en-GB" w:eastAsia="en-GB"/>
        </w:rPr>
        <w:drawing>
          <wp:inline distT="0" distB="0" distL="0" distR="0" wp14:anchorId="261355C8" wp14:editId="4ECEA2A3">
            <wp:extent cx="5006340" cy="5059680"/>
            <wp:effectExtent l="0" t="0" r="381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6340" cy="5059680"/>
                    </a:xfrm>
                    <a:prstGeom prst="rect">
                      <a:avLst/>
                    </a:prstGeom>
                    <a:noFill/>
                    <a:ln>
                      <a:noFill/>
                    </a:ln>
                  </pic:spPr>
                </pic:pic>
              </a:graphicData>
            </a:graphic>
          </wp:inline>
        </w:drawing>
      </w:r>
    </w:p>
    <w:p w14:paraId="6D7A3D4B" w14:textId="3FA593AE" w:rsidR="00994EE1" w:rsidRDefault="00994EE1" w:rsidP="00216CFA">
      <w:pPr>
        <w:spacing w:line="240" w:lineRule="auto"/>
        <w:jc w:val="both"/>
        <w:rPr>
          <w:rFonts w:ascii="Arial" w:hAnsi="Arial" w:cs="Arial"/>
          <w:sz w:val="20"/>
          <w:szCs w:val="20"/>
        </w:rPr>
      </w:pPr>
      <w:r>
        <w:rPr>
          <w:rFonts w:ascii="Arial" w:hAnsi="Arial" w:cs="Arial"/>
          <w:sz w:val="20"/>
          <w:szCs w:val="20"/>
        </w:rPr>
        <w:t>Slika 8</w:t>
      </w:r>
      <w:r w:rsidR="00F672CF" w:rsidRPr="005208C9">
        <w:rPr>
          <w:rFonts w:ascii="Arial" w:hAnsi="Arial" w:cs="Arial"/>
          <w:sz w:val="20"/>
          <w:szCs w:val="20"/>
        </w:rPr>
        <w:t xml:space="preserve">. </w:t>
      </w:r>
      <w:r>
        <w:rPr>
          <w:rFonts w:ascii="Arial" w:hAnsi="Arial" w:cs="Arial"/>
          <w:sz w:val="20"/>
          <w:szCs w:val="20"/>
        </w:rPr>
        <w:t>Imunofluorescentni p</w:t>
      </w:r>
      <w:r w:rsidRPr="002A3978">
        <w:rPr>
          <w:rFonts w:ascii="Arial" w:hAnsi="Arial" w:cs="Arial"/>
          <w:sz w:val="20"/>
          <w:szCs w:val="20"/>
        </w:rPr>
        <w:t xml:space="preserve">rikaz </w:t>
      </w:r>
      <w:r>
        <w:rPr>
          <w:rFonts w:ascii="Arial" w:hAnsi="Arial" w:cs="Arial"/>
          <w:sz w:val="20"/>
          <w:szCs w:val="20"/>
        </w:rPr>
        <w:t>ekspresije GLUT3 (A i B</w:t>
      </w:r>
      <w:r w:rsidR="00216CFA">
        <w:rPr>
          <w:rFonts w:ascii="Arial" w:hAnsi="Arial" w:cs="Arial"/>
          <w:sz w:val="20"/>
          <w:szCs w:val="20"/>
        </w:rPr>
        <w:t>, povećanje 20X</w:t>
      </w:r>
      <w:r>
        <w:rPr>
          <w:rFonts w:ascii="Arial" w:hAnsi="Arial" w:cs="Arial"/>
          <w:sz w:val="20"/>
          <w:szCs w:val="20"/>
        </w:rPr>
        <w:t xml:space="preserve">) (zeleno obojenje </w:t>
      </w:r>
      <w:r w:rsidRPr="002A3978">
        <w:rPr>
          <w:rFonts w:ascii="Arial" w:hAnsi="Arial" w:cs="Arial"/>
          <w:sz w:val="20"/>
          <w:szCs w:val="20"/>
        </w:rPr>
        <w:t>označeno strelicama</w:t>
      </w:r>
      <w:r>
        <w:rPr>
          <w:rFonts w:ascii="Arial" w:hAnsi="Arial" w:cs="Arial"/>
          <w:sz w:val="20"/>
          <w:szCs w:val="20"/>
        </w:rPr>
        <w:t>) i GLUT4 (crveno obojenje označeno strelicama)</w:t>
      </w:r>
      <w:r w:rsidRPr="002A3978">
        <w:rPr>
          <w:rFonts w:ascii="Arial" w:hAnsi="Arial" w:cs="Arial"/>
          <w:sz w:val="20"/>
          <w:szCs w:val="20"/>
        </w:rPr>
        <w:t xml:space="preserve"> </w:t>
      </w:r>
      <w:r>
        <w:rPr>
          <w:rFonts w:ascii="Arial" w:hAnsi="Arial" w:cs="Arial"/>
          <w:sz w:val="20"/>
          <w:szCs w:val="20"/>
        </w:rPr>
        <w:t>(C i D</w:t>
      </w:r>
      <w:r w:rsidR="00216CFA">
        <w:rPr>
          <w:rFonts w:ascii="Arial" w:hAnsi="Arial" w:cs="Arial"/>
          <w:sz w:val="20"/>
          <w:szCs w:val="20"/>
        </w:rPr>
        <w:t>, povećanje 30X</w:t>
      </w:r>
      <w:r>
        <w:rPr>
          <w:rFonts w:ascii="Arial" w:hAnsi="Arial" w:cs="Arial"/>
          <w:sz w:val="20"/>
          <w:szCs w:val="20"/>
        </w:rPr>
        <w:t xml:space="preserve">) </w:t>
      </w:r>
      <w:r w:rsidRPr="002A3978">
        <w:rPr>
          <w:rFonts w:ascii="Arial" w:hAnsi="Arial" w:cs="Arial"/>
          <w:sz w:val="20"/>
          <w:szCs w:val="20"/>
        </w:rPr>
        <w:t>reprezentativnog prereza moždanog debla štakora kontrolne životinje (</w:t>
      </w:r>
      <w:r>
        <w:rPr>
          <w:rFonts w:ascii="Arial" w:hAnsi="Arial" w:cs="Arial"/>
          <w:sz w:val="20"/>
          <w:szCs w:val="20"/>
        </w:rPr>
        <w:t>CTR) (</w:t>
      </w:r>
      <w:r w:rsidRPr="002A3978">
        <w:rPr>
          <w:rFonts w:ascii="Arial" w:hAnsi="Arial" w:cs="Arial"/>
          <w:sz w:val="20"/>
          <w:szCs w:val="20"/>
        </w:rPr>
        <w:t>A</w:t>
      </w:r>
      <w:r>
        <w:rPr>
          <w:rFonts w:ascii="Arial" w:hAnsi="Arial" w:cs="Arial"/>
          <w:sz w:val="20"/>
          <w:szCs w:val="20"/>
        </w:rPr>
        <w:t xml:space="preserve"> i C</w:t>
      </w:r>
      <w:r w:rsidRPr="002A3978">
        <w:rPr>
          <w:rFonts w:ascii="Arial" w:hAnsi="Arial" w:cs="Arial"/>
          <w:sz w:val="20"/>
          <w:szCs w:val="20"/>
        </w:rPr>
        <w:t>) i STZ-icv tretirane životinje</w:t>
      </w:r>
      <w:r>
        <w:rPr>
          <w:rFonts w:ascii="Arial" w:hAnsi="Arial" w:cs="Arial"/>
          <w:sz w:val="20"/>
          <w:szCs w:val="20"/>
        </w:rPr>
        <w:t xml:space="preserve"> (STZ)</w:t>
      </w:r>
      <w:r w:rsidRPr="002A3978">
        <w:rPr>
          <w:rFonts w:ascii="Arial" w:hAnsi="Arial" w:cs="Arial"/>
          <w:sz w:val="20"/>
          <w:szCs w:val="20"/>
        </w:rPr>
        <w:t xml:space="preserve"> (B</w:t>
      </w:r>
      <w:r>
        <w:rPr>
          <w:rFonts w:ascii="Arial" w:hAnsi="Arial" w:cs="Arial"/>
          <w:sz w:val="20"/>
          <w:szCs w:val="20"/>
        </w:rPr>
        <w:t xml:space="preserve"> i D</w:t>
      </w:r>
      <w:r w:rsidRPr="002A3978">
        <w:rPr>
          <w:rFonts w:ascii="Arial" w:hAnsi="Arial" w:cs="Arial"/>
          <w:sz w:val="20"/>
          <w:szCs w:val="20"/>
        </w:rPr>
        <w:t>)</w:t>
      </w:r>
      <w:r>
        <w:rPr>
          <w:rFonts w:ascii="Arial" w:hAnsi="Arial" w:cs="Arial"/>
          <w:sz w:val="20"/>
          <w:szCs w:val="20"/>
        </w:rPr>
        <w:t xml:space="preserve">. </w:t>
      </w:r>
      <w:r w:rsidRPr="002A3978">
        <w:rPr>
          <w:rFonts w:ascii="Arial" w:hAnsi="Arial" w:cs="Arial"/>
          <w:sz w:val="20"/>
          <w:szCs w:val="20"/>
        </w:rPr>
        <w:t xml:space="preserve"> </w:t>
      </w:r>
      <w:r w:rsidRPr="005208C9">
        <w:rPr>
          <w:rFonts w:ascii="Arial" w:hAnsi="Arial" w:cs="Arial"/>
          <w:sz w:val="20"/>
          <w:szCs w:val="20"/>
        </w:rPr>
        <w:t>XII – jezgra hypoglossusa; DMNX – dorzalna motorna jezgra vagusa; NTS – jez</w:t>
      </w:r>
      <w:r>
        <w:rPr>
          <w:rFonts w:ascii="Arial" w:hAnsi="Arial" w:cs="Arial"/>
          <w:sz w:val="20"/>
          <w:szCs w:val="20"/>
        </w:rPr>
        <w:t>gra solitarnog trakta</w:t>
      </w:r>
      <w:r w:rsidRPr="005208C9">
        <w:rPr>
          <w:rFonts w:ascii="Arial" w:hAnsi="Arial" w:cs="Arial"/>
          <w:sz w:val="20"/>
          <w:szCs w:val="20"/>
        </w:rPr>
        <w:t>; CC – centralni kanal.</w:t>
      </w:r>
    </w:p>
    <w:p w14:paraId="2577A19C" w14:textId="77777777" w:rsidR="00216CFA" w:rsidRPr="00216CFA" w:rsidRDefault="00EE79CA" w:rsidP="00216CFA">
      <w:pPr>
        <w:pStyle w:val="ListParagraph"/>
        <w:numPr>
          <w:ilvl w:val="1"/>
          <w:numId w:val="8"/>
        </w:numPr>
        <w:spacing w:line="360" w:lineRule="auto"/>
        <w:rPr>
          <w:rFonts w:ascii="Arial" w:hAnsi="Arial" w:cs="Arial"/>
          <w:b/>
          <w:sz w:val="20"/>
          <w:szCs w:val="20"/>
        </w:rPr>
      </w:pPr>
      <w:r w:rsidRPr="00216CFA">
        <w:rPr>
          <w:rFonts w:ascii="Arial" w:hAnsi="Arial" w:cs="Arial"/>
          <w:b/>
        </w:rPr>
        <w:t xml:space="preserve">Parametri antioksidativnog kapaciteta i oksidativnog stresa u </w:t>
      </w:r>
      <w:r w:rsidR="008F0336" w:rsidRPr="00216CFA">
        <w:rPr>
          <w:rFonts w:ascii="Arial" w:hAnsi="Arial" w:cs="Arial"/>
          <w:b/>
        </w:rPr>
        <w:t xml:space="preserve">moždanom deblu </w:t>
      </w:r>
      <w:r w:rsidRPr="00216CFA">
        <w:rPr>
          <w:rFonts w:ascii="Arial" w:hAnsi="Arial" w:cs="Arial"/>
          <w:b/>
        </w:rPr>
        <w:t>štakora mje</w:t>
      </w:r>
      <w:r w:rsidR="008F0336" w:rsidRPr="00216CFA">
        <w:rPr>
          <w:rFonts w:ascii="Arial" w:hAnsi="Arial" w:cs="Arial"/>
          <w:b/>
        </w:rPr>
        <w:t>sec dana nakon primjene STZ-icv</w:t>
      </w:r>
    </w:p>
    <w:p w14:paraId="618C8379" w14:textId="77777777" w:rsidR="00216CFA" w:rsidRDefault="00216CFA" w:rsidP="00216CFA">
      <w:pPr>
        <w:spacing w:line="360" w:lineRule="auto"/>
        <w:rPr>
          <w:rFonts w:ascii="Arial" w:hAnsi="Arial" w:cs="Arial"/>
          <w:sz w:val="20"/>
          <w:szCs w:val="20"/>
        </w:rPr>
      </w:pPr>
    </w:p>
    <w:p w14:paraId="62991AE4" w14:textId="6558FB3C" w:rsidR="00216CFA" w:rsidRDefault="00870FD4" w:rsidP="00216CFA">
      <w:pPr>
        <w:spacing w:line="360" w:lineRule="auto"/>
        <w:jc w:val="both"/>
        <w:rPr>
          <w:rFonts w:ascii="Arial" w:hAnsi="Arial" w:cs="Arial"/>
          <w:sz w:val="20"/>
          <w:szCs w:val="20"/>
        </w:rPr>
      </w:pPr>
      <w:r w:rsidRPr="00216CFA">
        <w:rPr>
          <w:rFonts w:ascii="Arial" w:hAnsi="Arial" w:cs="Arial"/>
          <w:sz w:val="20"/>
          <w:szCs w:val="20"/>
        </w:rPr>
        <w:t xml:space="preserve">Zbog uske povezanosti metabolizma i redox sustava stanice metabolički poremećaji često dovode do generiranja oksidativnog stresa unutar stanice. Kako bi vidjeli jesu li metaboličke promjene u moždanom </w:t>
      </w:r>
      <w:r w:rsidRPr="00216CFA">
        <w:rPr>
          <w:rFonts w:ascii="Arial" w:hAnsi="Arial" w:cs="Arial"/>
          <w:sz w:val="20"/>
          <w:szCs w:val="20"/>
        </w:rPr>
        <w:lastRenderedPageBreak/>
        <w:t xml:space="preserve">deblu STZ-icv štakora povezane s oksidativnim stresom </w:t>
      </w:r>
      <w:r w:rsidR="00080D22" w:rsidRPr="00216CFA">
        <w:rPr>
          <w:rFonts w:ascii="Arial" w:hAnsi="Arial" w:cs="Arial"/>
          <w:sz w:val="20"/>
          <w:szCs w:val="20"/>
        </w:rPr>
        <w:t xml:space="preserve">istražili smo </w:t>
      </w:r>
      <w:r w:rsidR="00420BA8" w:rsidRPr="00216CFA">
        <w:rPr>
          <w:rFonts w:ascii="Arial" w:hAnsi="Arial" w:cs="Arial"/>
          <w:sz w:val="20"/>
          <w:szCs w:val="20"/>
        </w:rPr>
        <w:t>parametre antioksidativnog kapaciteta (ukupni reducirani glutation) i oksidativnog stresa (aktivnost katalaze i lipidna peroksidacija)</w:t>
      </w:r>
      <w:r w:rsidRPr="00216CFA">
        <w:rPr>
          <w:rFonts w:ascii="Arial" w:hAnsi="Arial" w:cs="Arial"/>
          <w:sz w:val="20"/>
          <w:szCs w:val="20"/>
        </w:rPr>
        <w:t>.</w:t>
      </w:r>
      <w:r w:rsidR="00420BA8" w:rsidRPr="00216CFA">
        <w:rPr>
          <w:rFonts w:ascii="Arial" w:hAnsi="Arial" w:cs="Arial"/>
          <w:sz w:val="20"/>
          <w:szCs w:val="20"/>
        </w:rPr>
        <w:t xml:space="preserve"> Mjesec dana nakon STZ-icv  aktivnost katalaze statistički je značajno povećana u eksperimentalnoj skupini u usporedbi s kontrolnom (p&lt;0.01) (</w:t>
      </w:r>
      <w:r w:rsidR="00216CFA">
        <w:rPr>
          <w:rFonts w:ascii="Arial" w:hAnsi="Arial" w:cs="Arial"/>
          <w:sz w:val="20"/>
          <w:szCs w:val="20"/>
        </w:rPr>
        <w:t>Slika 9</w:t>
      </w:r>
      <w:r w:rsidR="00420BA8" w:rsidRPr="00216CFA">
        <w:rPr>
          <w:rFonts w:ascii="Arial" w:hAnsi="Arial" w:cs="Arial"/>
          <w:sz w:val="20"/>
          <w:szCs w:val="20"/>
        </w:rPr>
        <w:t>.A). Količina reduciranog glutationa pokazuje trend smanjenja u moždanom deblu STZ-icv štakora, ali ne dostiže statisti</w:t>
      </w:r>
      <w:r w:rsidR="0052708E" w:rsidRPr="00216CFA">
        <w:rPr>
          <w:rFonts w:ascii="Arial" w:hAnsi="Arial" w:cs="Arial"/>
          <w:sz w:val="20"/>
          <w:szCs w:val="20"/>
        </w:rPr>
        <w:t>čku značajnost (p=0.24) (</w:t>
      </w:r>
      <w:r w:rsidR="00216CFA">
        <w:rPr>
          <w:rFonts w:ascii="Arial" w:hAnsi="Arial" w:cs="Arial"/>
          <w:sz w:val="20"/>
          <w:szCs w:val="20"/>
        </w:rPr>
        <w:t>S</w:t>
      </w:r>
      <w:r w:rsidR="0052708E" w:rsidRPr="00216CFA">
        <w:rPr>
          <w:rFonts w:ascii="Arial" w:hAnsi="Arial" w:cs="Arial"/>
          <w:sz w:val="20"/>
          <w:szCs w:val="20"/>
        </w:rPr>
        <w:t xml:space="preserve">lika </w:t>
      </w:r>
      <w:r w:rsidR="00216CFA">
        <w:rPr>
          <w:rFonts w:ascii="Arial" w:hAnsi="Arial" w:cs="Arial"/>
          <w:sz w:val="20"/>
          <w:szCs w:val="20"/>
        </w:rPr>
        <w:t>9</w:t>
      </w:r>
      <w:r w:rsidR="00420BA8" w:rsidRPr="00216CFA">
        <w:rPr>
          <w:rFonts w:ascii="Arial" w:hAnsi="Arial" w:cs="Arial"/>
          <w:sz w:val="20"/>
          <w:szCs w:val="20"/>
        </w:rPr>
        <w:t>.B)</w:t>
      </w:r>
      <w:r w:rsidRPr="00216CFA">
        <w:rPr>
          <w:rFonts w:ascii="Arial" w:hAnsi="Arial" w:cs="Arial"/>
          <w:sz w:val="20"/>
          <w:szCs w:val="20"/>
        </w:rPr>
        <w:t xml:space="preserve">. Lipidna peroksidacija, </w:t>
      </w:r>
      <w:r w:rsidR="0052708E" w:rsidRPr="00216CFA">
        <w:rPr>
          <w:rFonts w:ascii="Arial" w:hAnsi="Arial" w:cs="Arial"/>
          <w:sz w:val="20"/>
          <w:szCs w:val="20"/>
        </w:rPr>
        <w:t>proc</w:t>
      </w:r>
      <w:r w:rsidR="00B92A81" w:rsidRPr="00216CFA">
        <w:rPr>
          <w:rFonts w:ascii="Arial" w:hAnsi="Arial" w:cs="Arial"/>
          <w:sz w:val="20"/>
          <w:szCs w:val="20"/>
        </w:rPr>
        <w:t>i</w:t>
      </w:r>
      <w:r w:rsidR="0052708E" w:rsidRPr="00216CFA">
        <w:rPr>
          <w:rFonts w:ascii="Arial" w:hAnsi="Arial" w:cs="Arial"/>
          <w:sz w:val="20"/>
          <w:szCs w:val="20"/>
        </w:rPr>
        <w:t>jenjena na temelju količine malondialdehida</w:t>
      </w:r>
      <w:r w:rsidRPr="00216CFA">
        <w:rPr>
          <w:rFonts w:ascii="Arial" w:hAnsi="Arial" w:cs="Arial"/>
          <w:sz w:val="20"/>
          <w:szCs w:val="20"/>
        </w:rPr>
        <w:t>,</w:t>
      </w:r>
      <w:r w:rsidR="0052708E" w:rsidRPr="00216CFA">
        <w:rPr>
          <w:rFonts w:ascii="Arial" w:hAnsi="Arial" w:cs="Arial"/>
          <w:sz w:val="20"/>
          <w:szCs w:val="20"/>
        </w:rPr>
        <w:t xml:space="preserve"> povećana je u moždanom deblu STZ-icv tretiranih štakora (p&lt;0.01)</w:t>
      </w:r>
      <w:r w:rsidR="00B92A81" w:rsidRPr="00216CFA">
        <w:rPr>
          <w:rFonts w:ascii="Arial" w:hAnsi="Arial" w:cs="Arial"/>
          <w:sz w:val="20"/>
          <w:szCs w:val="20"/>
        </w:rPr>
        <w:t xml:space="preserve"> (</w:t>
      </w:r>
      <w:r w:rsidR="00216CFA">
        <w:rPr>
          <w:rFonts w:ascii="Arial" w:hAnsi="Arial" w:cs="Arial"/>
          <w:sz w:val="20"/>
          <w:szCs w:val="20"/>
        </w:rPr>
        <w:t>S</w:t>
      </w:r>
      <w:r w:rsidR="00B92A81" w:rsidRPr="00216CFA">
        <w:rPr>
          <w:rFonts w:ascii="Arial" w:hAnsi="Arial" w:cs="Arial"/>
          <w:sz w:val="20"/>
          <w:szCs w:val="20"/>
        </w:rPr>
        <w:t xml:space="preserve">lika </w:t>
      </w:r>
      <w:r w:rsidR="00216CFA">
        <w:rPr>
          <w:rFonts w:ascii="Arial" w:hAnsi="Arial" w:cs="Arial"/>
          <w:sz w:val="20"/>
          <w:szCs w:val="20"/>
        </w:rPr>
        <w:t>9</w:t>
      </w:r>
      <w:r w:rsidR="00B92A81" w:rsidRPr="00216CFA">
        <w:rPr>
          <w:rFonts w:ascii="Arial" w:hAnsi="Arial" w:cs="Arial"/>
          <w:sz w:val="20"/>
          <w:szCs w:val="20"/>
        </w:rPr>
        <w:t xml:space="preserve">.C). </w:t>
      </w:r>
      <w:r w:rsidRPr="00216CFA">
        <w:rPr>
          <w:rFonts w:ascii="Arial" w:hAnsi="Arial" w:cs="Arial"/>
          <w:sz w:val="20"/>
          <w:szCs w:val="20"/>
        </w:rPr>
        <w:t>Navedeni rezultati upućuju da zaključak da je uz metaboličke promjene u moždanom deblu STZ-icv tretiranih štakora prisutna i povećana razina oksidativnog stresa.</w:t>
      </w:r>
    </w:p>
    <w:p w14:paraId="4B5AB17A" w14:textId="77777777" w:rsidR="00216CFA" w:rsidRDefault="00870FD4" w:rsidP="00216CFA">
      <w:pPr>
        <w:spacing w:line="240" w:lineRule="auto"/>
        <w:jc w:val="both"/>
        <w:rPr>
          <w:rFonts w:ascii="Arial" w:hAnsi="Arial" w:cs="Arial"/>
          <w:sz w:val="20"/>
          <w:szCs w:val="20"/>
        </w:rPr>
      </w:pPr>
      <w:r w:rsidRPr="00216CFA">
        <w:rPr>
          <w:rFonts w:ascii="Arial" w:hAnsi="Arial" w:cs="Arial"/>
          <w:sz w:val="20"/>
          <w:szCs w:val="20"/>
        </w:rPr>
        <w:br/>
      </w:r>
      <w:r w:rsidR="00BD663E">
        <w:rPr>
          <w:noProof/>
          <w:lang w:val="en-GB" w:eastAsia="en-GB"/>
        </w:rPr>
        <w:drawing>
          <wp:inline distT="0" distB="0" distL="0" distR="0" wp14:anchorId="4E160EB6" wp14:editId="3F3F3668">
            <wp:extent cx="5753100" cy="19278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1927860"/>
                    </a:xfrm>
                    <a:prstGeom prst="rect">
                      <a:avLst/>
                    </a:prstGeom>
                    <a:noFill/>
                    <a:ln>
                      <a:noFill/>
                    </a:ln>
                  </pic:spPr>
                </pic:pic>
              </a:graphicData>
            </a:graphic>
          </wp:inline>
        </w:drawing>
      </w:r>
      <w:r w:rsidR="008F0336">
        <w:br/>
      </w:r>
      <w:r w:rsidR="00994EE1" w:rsidRPr="00216CFA">
        <w:rPr>
          <w:rFonts w:ascii="Arial" w:hAnsi="Arial" w:cs="Arial"/>
          <w:sz w:val="20"/>
          <w:szCs w:val="20"/>
        </w:rPr>
        <w:t>Slika 9</w:t>
      </w:r>
      <w:r w:rsidR="008F0336" w:rsidRPr="00216CFA">
        <w:rPr>
          <w:rFonts w:ascii="Arial" w:hAnsi="Arial" w:cs="Arial"/>
          <w:sz w:val="20"/>
          <w:szCs w:val="20"/>
        </w:rPr>
        <w:t>. Parametri oksidativnog stresa i antioksidativnog kapaciteta. Usporedba aktivnosti katalaze u moždanom deblu eksperimentalnih i kontrolnih životinja mjesec dana nakon STZ-icv izražena u M razgrađenog vodikovog peroksida/min/mL/mg proteina (A). Količina reduciranog glutationa u moždanom deblu kontrolnih i STZ-icv životinja mjesec dana nakon tretmana izražena u nM 5-tionitrobenzoata</w:t>
      </w:r>
      <w:r w:rsidR="00872158" w:rsidRPr="00216CFA">
        <w:rPr>
          <w:rFonts w:ascii="Arial" w:hAnsi="Arial" w:cs="Arial"/>
          <w:sz w:val="20"/>
          <w:szCs w:val="20"/>
        </w:rPr>
        <w:t xml:space="preserve"> (TNB)</w:t>
      </w:r>
      <w:r w:rsidR="008F0336" w:rsidRPr="00216CFA">
        <w:rPr>
          <w:rFonts w:ascii="Arial" w:hAnsi="Arial" w:cs="Arial"/>
          <w:sz w:val="20"/>
          <w:szCs w:val="20"/>
        </w:rPr>
        <w:t>/mg proteina</w:t>
      </w:r>
      <w:r w:rsidR="00872158" w:rsidRPr="00216CFA">
        <w:rPr>
          <w:rFonts w:ascii="Arial" w:hAnsi="Arial" w:cs="Arial"/>
          <w:sz w:val="20"/>
          <w:szCs w:val="20"/>
        </w:rPr>
        <w:t xml:space="preserve"> (B)</w:t>
      </w:r>
      <w:r w:rsidR="008F0336" w:rsidRPr="00216CFA">
        <w:rPr>
          <w:rFonts w:ascii="Arial" w:hAnsi="Arial" w:cs="Arial"/>
          <w:sz w:val="20"/>
          <w:szCs w:val="20"/>
        </w:rPr>
        <w:t>. Količina lipidne peroksidacije</w:t>
      </w:r>
      <w:r w:rsidR="00872158" w:rsidRPr="00216CFA">
        <w:rPr>
          <w:rFonts w:ascii="Arial" w:hAnsi="Arial" w:cs="Arial"/>
          <w:sz w:val="20"/>
          <w:szCs w:val="20"/>
        </w:rPr>
        <w:t xml:space="preserve"> izražena kao nM malondialdehida (MDA)</w:t>
      </w:r>
      <w:r w:rsidR="008F0336" w:rsidRPr="00216CFA">
        <w:rPr>
          <w:rFonts w:ascii="Arial" w:hAnsi="Arial" w:cs="Arial"/>
          <w:sz w:val="20"/>
          <w:szCs w:val="20"/>
        </w:rPr>
        <w:t xml:space="preserve"> </w:t>
      </w:r>
      <w:r w:rsidR="00872158" w:rsidRPr="00216CFA">
        <w:rPr>
          <w:rFonts w:ascii="Arial" w:hAnsi="Arial" w:cs="Arial"/>
          <w:sz w:val="20"/>
          <w:szCs w:val="20"/>
        </w:rPr>
        <w:t>u moždanom deblu kontrolnih i STZ-icv tretiranih životinja mjesec dana nakon tretmana (C). Rezultati su izraženi kao aritmetička sredina ±SD. *</w:t>
      </w:r>
      <w:r w:rsidR="00420BA8" w:rsidRPr="00216CFA">
        <w:rPr>
          <w:rFonts w:ascii="Arial" w:hAnsi="Arial" w:cs="Arial"/>
          <w:sz w:val="20"/>
          <w:szCs w:val="20"/>
        </w:rPr>
        <w:t>*p&lt;0,01</w:t>
      </w:r>
      <w:r w:rsidR="00872158" w:rsidRPr="00216CFA">
        <w:rPr>
          <w:rFonts w:ascii="Arial" w:hAnsi="Arial" w:cs="Arial"/>
          <w:sz w:val="20"/>
          <w:szCs w:val="20"/>
        </w:rPr>
        <w:t xml:space="preserve"> prema Mann Whitney U testu. </w:t>
      </w:r>
    </w:p>
    <w:p w14:paraId="72CAF7A3" w14:textId="19C010E8" w:rsidR="00EE79CA" w:rsidRPr="00216CFA" w:rsidRDefault="00EE79CA" w:rsidP="00216CFA">
      <w:pPr>
        <w:pStyle w:val="ListParagraph"/>
        <w:numPr>
          <w:ilvl w:val="1"/>
          <w:numId w:val="8"/>
        </w:numPr>
        <w:spacing w:line="360" w:lineRule="auto"/>
        <w:rPr>
          <w:rFonts w:ascii="Arial" w:hAnsi="Arial" w:cs="Arial"/>
          <w:b/>
        </w:rPr>
      </w:pPr>
      <w:r w:rsidRPr="00216CFA">
        <w:rPr>
          <w:rFonts w:ascii="Arial" w:hAnsi="Arial" w:cs="Arial"/>
          <w:b/>
        </w:rPr>
        <w:t>Analiza metaboličkog odgovora</w:t>
      </w:r>
      <w:r w:rsidR="00CB61B7" w:rsidRPr="00216CFA">
        <w:rPr>
          <w:rFonts w:ascii="Arial" w:hAnsi="Arial" w:cs="Arial"/>
          <w:b/>
        </w:rPr>
        <w:t xml:space="preserve"> DMNX kontrolnih i STZ-icv tretiranih životinja</w:t>
      </w:r>
      <w:r w:rsidRPr="00216CFA">
        <w:rPr>
          <w:rFonts w:ascii="Arial" w:hAnsi="Arial" w:cs="Arial"/>
          <w:b/>
        </w:rPr>
        <w:t xml:space="preserve"> u modelu akutne primjene peroralne i intraperitonealne </w:t>
      </w:r>
      <w:r w:rsidR="00CB61B7" w:rsidRPr="00216CFA">
        <w:rPr>
          <w:rFonts w:ascii="Arial" w:hAnsi="Arial" w:cs="Arial"/>
          <w:b/>
        </w:rPr>
        <w:t>D-</w:t>
      </w:r>
      <w:r w:rsidRPr="00216CFA">
        <w:rPr>
          <w:rFonts w:ascii="Arial" w:hAnsi="Arial" w:cs="Arial"/>
          <w:b/>
        </w:rPr>
        <w:t>galaktoze</w:t>
      </w:r>
      <w:r w:rsidRPr="00216CFA">
        <w:rPr>
          <w:b/>
        </w:rPr>
        <w:t xml:space="preserve"> </w:t>
      </w:r>
    </w:p>
    <w:p w14:paraId="244A74F9" w14:textId="77777777" w:rsidR="00216CFA" w:rsidRDefault="00216CFA" w:rsidP="005208C9">
      <w:pPr>
        <w:spacing w:line="360" w:lineRule="auto"/>
        <w:rPr>
          <w:rFonts w:ascii="Arial" w:hAnsi="Arial" w:cs="Arial"/>
          <w:sz w:val="20"/>
          <w:szCs w:val="20"/>
        </w:rPr>
      </w:pPr>
    </w:p>
    <w:p w14:paraId="249858E4" w14:textId="625C6AE5" w:rsidR="00F672CF" w:rsidRPr="00493FCD" w:rsidRDefault="000F476E" w:rsidP="00216CFA">
      <w:pPr>
        <w:spacing w:line="360" w:lineRule="auto"/>
        <w:jc w:val="both"/>
        <w:rPr>
          <w:rFonts w:ascii="Arial" w:hAnsi="Arial" w:cs="Arial"/>
          <w:sz w:val="20"/>
          <w:szCs w:val="20"/>
        </w:rPr>
      </w:pPr>
      <w:r w:rsidRPr="00493FCD">
        <w:rPr>
          <w:rFonts w:ascii="Arial" w:hAnsi="Arial" w:cs="Arial"/>
          <w:sz w:val="20"/>
          <w:szCs w:val="20"/>
        </w:rPr>
        <w:t xml:space="preserve">Kronična peroralna administracija D-galaktoze smanjuje kognitivni deficit u štakorskom modelu sAD </w:t>
      </w:r>
      <w:r w:rsidRPr="00DF1F73">
        <w:rPr>
          <w:rFonts w:ascii="Arial" w:hAnsi="Arial" w:cs="Arial"/>
          <w:sz w:val="20"/>
          <w:szCs w:val="20"/>
        </w:rPr>
        <w:fldChar w:fldCharType="begin" w:fldLock="1"/>
      </w:r>
      <w:r w:rsidRPr="00DF1F73">
        <w:rPr>
          <w:rFonts w:ascii="Arial" w:hAnsi="Arial" w:cs="Arial"/>
          <w:sz w:val="20"/>
          <w:szCs w:val="20"/>
        </w:rPr>
        <w:instrText>ADDIN CSL_CITATION { "citationItems" : [ { "id" : "ITEM-1", "itemData" : { "DOI" : "10.1016/j.neuropharm.2018.02.027", "ISSN" : "00283908", "abstract" : "Insulin resistance and metabolic dysfunction in the brain are considered to be the pathophysiological core of sporadic Alzheimer's disease (sAD). In line with that fact, nutrients that could have therapeutic effects at this level have been investigated as possible targets in AD therapy. Galactose, an epimer of glucose, may serve as an alternative source of energy, and given orally may stimulate secretion of the incretin hormone glucagon-like peptide-1 (GLP-1). Our preliminary research indicated that oral galactose might prevent development of memory impairment in a rat model of sAD generated by intracerebroventricular administration of streptozotocin (STZ-icv). Here, we explored whether chronic oral galactose treatment could have beneficial effects on cognitive deficits already manifested at the time of initiation of galactose treatment in adult STZ-icv rats (treatment initiated 1 month after STZ-icv injection). The results clearly show that a 2-month exposure to oral galactose (200\u202fmg/kg/day administered in a drink ad libitum) normalises impaired learning and memory functions. Memory improvement was accompanied by an improvement in brain glucose hypometabolism measured by 18fluorodeoxyglucose-positron emission tomography neuroimaging and by increments in active GLP-1 plasma levels as well as by an increased expression of GLP-1 receptors in the hippocampus and hypothalamus. Our findings provide strong evidence of beneficial effects of oral galactose treatment in the STZ-icv rat model of sAD and present possible underlying mechanisms including both direct effects of galactose within the brain and indirect GLP-1-induced neuroprotective effects that might open a new, dietary-based strategy in sAD treatment.", "author" : [ { "dropping-particle" : "", "family" : "Knezovic", "given" : "Ana", "non-dropping-particle" : "", "parse-names" : false, "suffix" : "" }, { "dropping-particle" : "", "family" : "Barilar", "given" : "Jelena Osmanovic", "non-dropping-particle" : "", "parse-names" : false, "suffix" : "" }, { "dropping-particle" : "", "family" : "Babic", "given" : "Ana", "non-dropping-particle" : "", "parse-names" : false, "suffix" : "" }, { "dropping-particle" : "", "family" : "Bagaric", "given" : "Robert", "non-dropping-particle" : "", "parse-names" : false, "suffix" : "" }, { "dropping-particle" : "", "family" : "Farkas", "given" : "Vladimir", "non-dropping-particle" : "", "parse-names" : false, "suffix" : "" }, { "dropping-particle" : "", "family" : "Riederer", "given" : "Peter", "non-dropping-particle" : "", "parse-names" : false, "suffix" : "" }, { "dropping-particle" : "", "family" : "Salkovic-Petrisic", "given" : "Melita", "non-dropping-particle" : "", "parse-names" : false, "suffix" : "" } ], "container-title" : "Neuropharmacology", "id" : "ITEM-1", "issued" : { "date-parts" : [ [ "2018", "2" ] ] }, "title" : "Glucagon-like peptide-1 mediates effects of oral galactose in streptozotocin-induced rat model of sporadic Alzheimer\u2019s disease", "type" : "article-journal" }, "uris" : [ "http://www.mendeley.com/documents/?uuid=07ff2f8f-2fa6-30aa-a996-fb8480e14690" ] }, { "id" : "ITEM-2", "itemData" : { "DOI" : "10.1016/j.neuropharm.2013.09.002", "ISSN" : "00283908", "PMID" : "24055495", "abstract" : "Basic and clinical research has demonstrated that dementia of sporadic Alzheimer's disease (sAD) type is associated with dysfunction of the insulin-receptor (IR) system followed by decreased glucose transport via glucose transporter GLUT4 and decreased glucose metabolism in brain cells. An alternative source of energy is d-galactose (the C-4-epimer of d-glucose) which is transported into the brain by insulin-independent GLUT3 transporter where it might be metabolized to glucose via the Leloir pathway. Exclusively parenteral daily injections of galactose induce memory deterioration in rodents and are used to generate animal aging model, but the effects of oral galactose treatment on cognitive functions have never been tested. We have investigated the effects of continuous daily oral galactose (200 mg/kg/day) treatment on cognitive deficits in streptozotocin-induced (STZ-icv) rat model of sAD, tested by Morris Water Maze and Passive Avoidance test, respectively. One month of oral galactose treatment initiated immediately after the STZ-icv administration, successfully prevented development of the STZ-icv-induced cognitive deficits. Beneficial effect of oral galactose was independent of the rat age and of the galactose dose ranging from 100 to 300 mg/kg/day. Additionally, oral galactose administration led to the appearance of galactose in the blood. The increase of galactose concentration in the cerebrospinal fluid was several times lower after oral than after parenteral administration of the same galactose dose. Oral galactose exposure might have beneficial effects on learning and memory ability and could be worth investigating for improvement of cognitive deficits associated with glucose hypometabolism in AD.", "author" : [ { "dropping-particle" : "", "family" : "Salkovic-Petrisic", "given" : "Melita", "non-dropping-particle" : "", "parse-names" : false, "suffix" : "" }, { "dropping-particle" : "", "family" : "Osmanovic-Barilar", "given" : "Jelena", "non-dropping-particle" : "", "parse-names" : false, "suffix" : "" }, { "dropping-particle" : "", "family" : "Knezovic", "given" : "Ana", "non-dropping-particle" : "", "parse-names" : false, "suffix" : "" }, { "dropping-particle" : "", "family" : "Hoyer", "given" : "Siegfried", "non-dropping-particle" : "", "parse-names" : false, "suffix" : "" }, { "dropping-particle" : "", "family" : "Mosetter", "given" : "Kurt", "non-dropping-particle" : "", "parse-names" : false, "suffix" : "" }, { "dropping-particle" : "", "family" : "Reutter", "given" : "Werner", "non-dropping-particle" : "", "parse-names" : false, "suffix" : "" } ], "container-title" : "Neuropharmacology", "id" : "ITEM-2", "issued" : { "date-parts" : [ [ "2014", "2" ] ] }, "page" : "68-80", "title" : "Long-term oral galactose treatment prevents cognitive deficits in male Wistar rats treated intracerebroventricularly with streptozotocin", "type" : "article-journal", "volume" : "77" }, "uris" : [ "http://www.mendeley.com/documents/?uuid=6cd6b610-1461-35c8-aa77-1db6aa2243ff" ] } ], "mendeley" : { "formattedCitation" : "(Ana Knezovic et al., 2018; Salkovic-Petrisic et al., 2014)", "plainTextFormattedCitation" : "(Ana Knezovic et al., 2018; Salkovic-Petrisic et al., 2014)", "previouslyFormattedCitation" : "(Ana Knezovic et al., 2018; Salkovic-Petrisic et al., 2014)" }, "properties" : {  }, "schema" : "https://github.com/citation-style-language/schema/raw/master/csl-citation.json" }</w:instrText>
      </w:r>
      <w:r w:rsidRPr="00DF1F73">
        <w:rPr>
          <w:rFonts w:ascii="Arial" w:hAnsi="Arial" w:cs="Arial"/>
          <w:sz w:val="20"/>
          <w:szCs w:val="20"/>
        </w:rPr>
        <w:fldChar w:fldCharType="separate"/>
      </w:r>
      <w:r w:rsidR="00216CFA" w:rsidRPr="00DF1F73">
        <w:rPr>
          <w:rFonts w:ascii="Arial" w:hAnsi="Arial" w:cs="Arial"/>
          <w:noProof/>
          <w:sz w:val="20"/>
          <w:szCs w:val="20"/>
        </w:rPr>
        <w:t>(</w:t>
      </w:r>
      <w:r w:rsidR="00511498">
        <w:rPr>
          <w:rFonts w:ascii="Arial" w:hAnsi="Arial" w:cs="Arial"/>
          <w:noProof/>
          <w:sz w:val="20"/>
          <w:szCs w:val="20"/>
        </w:rPr>
        <w:t>Knezović</w:t>
      </w:r>
      <w:r w:rsidR="00216CFA" w:rsidRPr="00DF1F73">
        <w:rPr>
          <w:rFonts w:ascii="Arial" w:hAnsi="Arial" w:cs="Arial"/>
          <w:noProof/>
          <w:sz w:val="20"/>
          <w:szCs w:val="20"/>
        </w:rPr>
        <w:t xml:space="preserve"> i sur.</w:t>
      </w:r>
      <w:r w:rsidR="00511498">
        <w:rPr>
          <w:rFonts w:ascii="Arial" w:hAnsi="Arial" w:cs="Arial"/>
          <w:noProof/>
          <w:sz w:val="20"/>
          <w:szCs w:val="20"/>
        </w:rPr>
        <w:t>, 2018; Šalković-Petrišić</w:t>
      </w:r>
      <w:r w:rsidRPr="00DF1F73">
        <w:rPr>
          <w:rFonts w:ascii="Arial" w:hAnsi="Arial" w:cs="Arial"/>
          <w:noProof/>
          <w:sz w:val="20"/>
          <w:szCs w:val="20"/>
        </w:rPr>
        <w:t xml:space="preserve"> </w:t>
      </w:r>
      <w:r w:rsidR="00216CFA" w:rsidRPr="00DF1F73">
        <w:rPr>
          <w:rFonts w:ascii="Arial" w:hAnsi="Arial" w:cs="Arial"/>
          <w:noProof/>
          <w:sz w:val="20"/>
          <w:szCs w:val="20"/>
        </w:rPr>
        <w:t>i sur</w:t>
      </w:r>
      <w:r w:rsidRPr="00DF1F73">
        <w:rPr>
          <w:rFonts w:ascii="Arial" w:hAnsi="Arial" w:cs="Arial"/>
          <w:noProof/>
          <w:sz w:val="20"/>
          <w:szCs w:val="20"/>
        </w:rPr>
        <w:t>., 2014)</w:t>
      </w:r>
      <w:r w:rsidRPr="00DF1F73">
        <w:rPr>
          <w:rFonts w:ascii="Arial" w:hAnsi="Arial" w:cs="Arial"/>
          <w:sz w:val="20"/>
          <w:szCs w:val="20"/>
        </w:rPr>
        <w:fldChar w:fldCharType="end"/>
      </w:r>
      <w:r w:rsidRPr="00DF1F73">
        <w:rPr>
          <w:rFonts w:ascii="Arial" w:hAnsi="Arial" w:cs="Arial"/>
          <w:sz w:val="20"/>
          <w:szCs w:val="20"/>
        </w:rPr>
        <w:t xml:space="preserve">, a kronična parenteralna administracija D-galaktoze </w:t>
      </w:r>
      <w:r w:rsidR="00CB61B7" w:rsidRPr="00DF1F73">
        <w:rPr>
          <w:rFonts w:ascii="Arial" w:hAnsi="Arial" w:cs="Arial"/>
          <w:sz w:val="20"/>
          <w:szCs w:val="20"/>
        </w:rPr>
        <w:t xml:space="preserve">koristi se u istraživanjima </w:t>
      </w:r>
      <w:r w:rsidR="00EA7F7A" w:rsidRPr="00DF1F73">
        <w:rPr>
          <w:rFonts w:ascii="Arial" w:hAnsi="Arial" w:cs="Arial"/>
          <w:sz w:val="20"/>
          <w:szCs w:val="20"/>
        </w:rPr>
        <w:t xml:space="preserve">na životinjama </w:t>
      </w:r>
      <w:r w:rsidR="00CB61B7" w:rsidRPr="00DF1F73">
        <w:rPr>
          <w:rFonts w:ascii="Arial" w:hAnsi="Arial" w:cs="Arial"/>
          <w:sz w:val="20"/>
          <w:szCs w:val="20"/>
        </w:rPr>
        <w:t xml:space="preserve">kao model ubrzanog starenja </w:t>
      </w:r>
      <w:r w:rsidR="00CB61B7" w:rsidRPr="00DF1F73">
        <w:rPr>
          <w:rFonts w:ascii="Arial" w:hAnsi="Arial" w:cs="Arial"/>
          <w:sz w:val="20"/>
          <w:szCs w:val="20"/>
        </w:rPr>
        <w:fldChar w:fldCharType="begin" w:fldLock="1"/>
      </w:r>
      <w:r w:rsidR="00CB61B7" w:rsidRPr="00DF1F73">
        <w:rPr>
          <w:rFonts w:ascii="Arial" w:hAnsi="Arial" w:cs="Arial"/>
          <w:sz w:val="20"/>
          <w:szCs w:val="20"/>
        </w:rPr>
        <w:instrText>ADDIN CSL_CITATION { "citationItems" : [ { "id" : "ITEM-1", "itemData" : { "DOI" : "10.1023/A:1022417102206", "ISSN" : "13895729", "author" : [ { "dropping-particle" : "", "family" : "Ho", "given" : "Shih-Ching", "non-dropping-particle" : "", "parse-names" : false, "suffix" : "" }, { "dropping-particle" : "", "family" : "Liu", "given" : "Jue-Hao", "non-dropping-particle" : "", "parse-names" : false, "suffix" : "" }, { "dropping-particle" : "", "family" : "Wu", "given" : "ReY-Yih", "non-dropping-particle" : "", "parse-names" : false, "suffix" : "" } ], "container-title" : "Biogerontology", "id" : "ITEM-1", "issue" : "1", "issued" : { "date-parts" : [ [ "2003" ] ] }, "page" : "15-18", "publisher" : "Kluwer Academic Publishers", "title" : "Establishment of the mimetic aging effect in mice caused by D-galactose", "type" : "article-journal", "volume" : "4" }, "uris" : [ "http://www.mendeley.com/documents/?uuid=0bfed3c9-2212-360d-98e7-2395c471a03e" ] } ], "mendeley" : { "formattedCitation" : "(Ho, Liu, &amp; Wu, 2003)", "plainTextFormattedCitation" : "(Ho, Liu, &amp; Wu, 2003)", "previouslyFormattedCitation" : "(Ho, Liu, &amp; Wu, 2003)" }, "properties" : {  }, "schema" : "https://github.com/citation-style-language/schema/raw/master/csl-citation.json" }</w:instrText>
      </w:r>
      <w:r w:rsidR="00CB61B7" w:rsidRPr="00DF1F73">
        <w:rPr>
          <w:rFonts w:ascii="Arial" w:hAnsi="Arial" w:cs="Arial"/>
          <w:sz w:val="20"/>
          <w:szCs w:val="20"/>
        </w:rPr>
        <w:fldChar w:fldCharType="separate"/>
      </w:r>
      <w:r w:rsidR="00CB61B7" w:rsidRPr="00DF1F73">
        <w:rPr>
          <w:rFonts w:ascii="Arial" w:hAnsi="Arial" w:cs="Arial"/>
          <w:noProof/>
          <w:sz w:val="20"/>
          <w:szCs w:val="20"/>
        </w:rPr>
        <w:t>(Ho</w:t>
      </w:r>
      <w:r w:rsidR="00216CFA" w:rsidRPr="00DF1F73">
        <w:rPr>
          <w:rFonts w:ascii="Arial" w:hAnsi="Arial" w:cs="Arial"/>
          <w:noProof/>
          <w:sz w:val="20"/>
          <w:szCs w:val="20"/>
        </w:rPr>
        <w:t xml:space="preserve"> i sur.</w:t>
      </w:r>
      <w:r w:rsidR="00CB61B7" w:rsidRPr="00DF1F73">
        <w:rPr>
          <w:rFonts w:ascii="Arial" w:hAnsi="Arial" w:cs="Arial"/>
          <w:noProof/>
          <w:sz w:val="20"/>
          <w:szCs w:val="20"/>
        </w:rPr>
        <w:t>, 2003)</w:t>
      </w:r>
      <w:r w:rsidR="00CB61B7" w:rsidRPr="00DF1F73">
        <w:rPr>
          <w:rFonts w:ascii="Arial" w:hAnsi="Arial" w:cs="Arial"/>
          <w:sz w:val="20"/>
          <w:szCs w:val="20"/>
        </w:rPr>
        <w:fldChar w:fldCharType="end"/>
      </w:r>
      <w:r w:rsidR="00CB61B7" w:rsidRPr="00DF1F73">
        <w:rPr>
          <w:rFonts w:ascii="Arial" w:hAnsi="Arial" w:cs="Arial"/>
          <w:sz w:val="20"/>
          <w:szCs w:val="20"/>
        </w:rPr>
        <w:t xml:space="preserve">. </w:t>
      </w:r>
      <w:r w:rsidRPr="00DF1F73">
        <w:rPr>
          <w:rFonts w:ascii="Arial" w:hAnsi="Arial" w:cs="Arial"/>
          <w:sz w:val="20"/>
          <w:szCs w:val="20"/>
        </w:rPr>
        <w:t>S obzirom na biokemijske promjene DMNX STZ-icv životinja povezane s metabolizmom i regulacijom glukoze te povećanu razinu oksidativnog stresa u moždanom deblu tretiranih životinja</w:t>
      </w:r>
      <w:r w:rsidR="00CB61B7" w:rsidRPr="00DF1F73">
        <w:rPr>
          <w:rFonts w:ascii="Arial" w:hAnsi="Arial" w:cs="Arial"/>
          <w:sz w:val="20"/>
          <w:szCs w:val="20"/>
        </w:rPr>
        <w:t xml:space="preserve"> zanimalo nas je hoće li</w:t>
      </w:r>
      <w:r w:rsidR="00CB61B7" w:rsidRPr="00493FCD">
        <w:rPr>
          <w:rFonts w:ascii="Arial" w:hAnsi="Arial" w:cs="Arial"/>
          <w:sz w:val="20"/>
          <w:szCs w:val="20"/>
        </w:rPr>
        <w:t xml:space="preserve"> akutna peroralna i intraperitonealna administracija D-galaktoze imati drugačije učinke na DMNX kontrolnih i STZ-icv tretiranih životinja</w:t>
      </w:r>
      <w:r w:rsidR="008F4661" w:rsidRPr="00493FCD">
        <w:rPr>
          <w:rFonts w:ascii="Arial" w:hAnsi="Arial" w:cs="Arial"/>
          <w:sz w:val="20"/>
          <w:szCs w:val="20"/>
        </w:rPr>
        <w:t xml:space="preserve"> mjesec dana nakon administracije STZ</w:t>
      </w:r>
      <w:r w:rsidR="00CB61B7" w:rsidRPr="00493FCD">
        <w:rPr>
          <w:rFonts w:ascii="Arial" w:hAnsi="Arial" w:cs="Arial"/>
          <w:sz w:val="20"/>
          <w:szCs w:val="20"/>
        </w:rPr>
        <w:t xml:space="preserve">. </w:t>
      </w:r>
      <w:r w:rsidR="008F4661" w:rsidRPr="00493FCD">
        <w:rPr>
          <w:rFonts w:ascii="Arial" w:hAnsi="Arial" w:cs="Arial"/>
          <w:sz w:val="20"/>
          <w:szCs w:val="20"/>
        </w:rPr>
        <w:t>Imu</w:t>
      </w:r>
      <w:r w:rsidR="000777B4">
        <w:rPr>
          <w:rFonts w:ascii="Arial" w:hAnsi="Arial" w:cs="Arial"/>
          <w:sz w:val="20"/>
          <w:szCs w:val="20"/>
        </w:rPr>
        <w:t xml:space="preserve">nofluorescencijskom analizom </w:t>
      </w:r>
      <w:r w:rsidR="008F4661" w:rsidRPr="00493FCD">
        <w:rPr>
          <w:rFonts w:ascii="Arial" w:hAnsi="Arial" w:cs="Arial"/>
          <w:sz w:val="20"/>
          <w:szCs w:val="20"/>
        </w:rPr>
        <w:t>fosforilirane P70S6 kinaze ustanovili smo da akutna peroralna administracija galaktoze povećava fosforilaciju u DMNX i u kontrolnih (</w:t>
      </w:r>
      <w:r w:rsidR="000777B4">
        <w:rPr>
          <w:rFonts w:ascii="Arial" w:hAnsi="Arial" w:cs="Arial"/>
          <w:sz w:val="20"/>
          <w:szCs w:val="20"/>
        </w:rPr>
        <w:t>S</w:t>
      </w:r>
      <w:r w:rsidR="008F4661" w:rsidRPr="00493FCD">
        <w:rPr>
          <w:rFonts w:ascii="Arial" w:hAnsi="Arial" w:cs="Arial"/>
          <w:sz w:val="20"/>
          <w:szCs w:val="20"/>
        </w:rPr>
        <w:t xml:space="preserve">lika </w:t>
      </w:r>
      <w:r w:rsidR="000777B4">
        <w:rPr>
          <w:rFonts w:ascii="Arial" w:hAnsi="Arial" w:cs="Arial"/>
          <w:sz w:val="20"/>
          <w:szCs w:val="20"/>
        </w:rPr>
        <w:t>10</w:t>
      </w:r>
      <w:r w:rsidR="008F4661" w:rsidRPr="00493FCD">
        <w:rPr>
          <w:rFonts w:ascii="Arial" w:hAnsi="Arial" w:cs="Arial"/>
          <w:sz w:val="20"/>
          <w:szCs w:val="20"/>
        </w:rPr>
        <w:t>.B) i u STZ-icv tretiranih životinja (</w:t>
      </w:r>
      <w:r w:rsidR="000777B4">
        <w:rPr>
          <w:rFonts w:ascii="Arial" w:hAnsi="Arial" w:cs="Arial"/>
          <w:sz w:val="20"/>
          <w:szCs w:val="20"/>
        </w:rPr>
        <w:t>S</w:t>
      </w:r>
      <w:r w:rsidR="008F4661" w:rsidRPr="00493FCD">
        <w:rPr>
          <w:rFonts w:ascii="Arial" w:hAnsi="Arial" w:cs="Arial"/>
          <w:sz w:val="20"/>
          <w:szCs w:val="20"/>
        </w:rPr>
        <w:t xml:space="preserve">lika </w:t>
      </w:r>
      <w:r w:rsidR="000777B4">
        <w:rPr>
          <w:rFonts w:ascii="Arial" w:hAnsi="Arial" w:cs="Arial"/>
          <w:sz w:val="20"/>
          <w:szCs w:val="20"/>
        </w:rPr>
        <w:t>10</w:t>
      </w:r>
      <w:r w:rsidR="008F4661" w:rsidRPr="00493FCD">
        <w:rPr>
          <w:rFonts w:ascii="Arial" w:hAnsi="Arial" w:cs="Arial"/>
          <w:sz w:val="20"/>
          <w:szCs w:val="20"/>
        </w:rPr>
        <w:t>.E), no intraperitonealna administracija povećava fosforilaciju samo u STZ-icv životinja (</w:t>
      </w:r>
      <w:r w:rsidR="000777B4">
        <w:rPr>
          <w:rFonts w:ascii="Arial" w:hAnsi="Arial" w:cs="Arial"/>
          <w:sz w:val="20"/>
          <w:szCs w:val="20"/>
        </w:rPr>
        <w:t>S</w:t>
      </w:r>
      <w:r w:rsidR="008F4661" w:rsidRPr="00493FCD">
        <w:rPr>
          <w:rFonts w:ascii="Arial" w:hAnsi="Arial" w:cs="Arial"/>
          <w:sz w:val="20"/>
          <w:szCs w:val="20"/>
        </w:rPr>
        <w:t xml:space="preserve">lika </w:t>
      </w:r>
      <w:r w:rsidR="000777B4">
        <w:rPr>
          <w:rFonts w:ascii="Arial" w:hAnsi="Arial" w:cs="Arial"/>
          <w:sz w:val="20"/>
          <w:szCs w:val="20"/>
        </w:rPr>
        <w:t>10</w:t>
      </w:r>
      <w:r w:rsidR="008F4661" w:rsidRPr="00493FCD">
        <w:rPr>
          <w:rFonts w:ascii="Arial" w:hAnsi="Arial" w:cs="Arial"/>
          <w:sz w:val="20"/>
          <w:szCs w:val="20"/>
        </w:rPr>
        <w:t>.F) dok kod kontrolnih dovodi do smanjene fosforilacije (</w:t>
      </w:r>
      <w:r w:rsidR="000777B4">
        <w:rPr>
          <w:rFonts w:ascii="Arial" w:hAnsi="Arial" w:cs="Arial"/>
          <w:sz w:val="20"/>
          <w:szCs w:val="20"/>
        </w:rPr>
        <w:t>S</w:t>
      </w:r>
      <w:r w:rsidR="008F4661" w:rsidRPr="00493FCD">
        <w:rPr>
          <w:rFonts w:ascii="Arial" w:hAnsi="Arial" w:cs="Arial"/>
          <w:sz w:val="20"/>
          <w:szCs w:val="20"/>
        </w:rPr>
        <w:t xml:space="preserve">lika </w:t>
      </w:r>
      <w:r w:rsidR="000777B4">
        <w:rPr>
          <w:rFonts w:ascii="Arial" w:hAnsi="Arial" w:cs="Arial"/>
          <w:sz w:val="20"/>
          <w:szCs w:val="20"/>
        </w:rPr>
        <w:t>10</w:t>
      </w:r>
      <w:r w:rsidR="008F4661" w:rsidRPr="00493FCD">
        <w:rPr>
          <w:rFonts w:ascii="Arial" w:hAnsi="Arial" w:cs="Arial"/>
          <w:sz w:val="20"/>
          <w:szCs w:val="20"/>
        </w:rPr>
        <w:t xml:space="preserve">.C). </w:t>
      </w:r>
    </w:p>
    <w:p w14:paraId="0396EA77" w14:textId="77777777" w:rsidR="00EE79CA" w:rsidRDefault="00B572B6">
      <w:r>
        <w:rPr>
          <w:noProof/>
          <w:lang w:val="en-GB" w:eastAsia="en-GB"/>
        </w:rPr>
        <w:lastRenderedPageBreak/>
        <w:drawing>
          <wp:inline distT="0" distB="0" distL="0" distR="0" wp14:anchorId="771708E6" wp14:editId="49BD4695">
            <wp:extent cx="5760720" cy="37033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703320"/>
                    </a:xfrm>
                    <a:prstGeom prst="rect">
                      <a:avLst/>
                    </a:prstGeom>
                    <a:noFill/>
                    <a:ln>
                      <a:noFill/>
                    </a:ln>
                  </pic:spPr>
                </pic:pic>
              </a:graphicData>
            </a:graphic>
          </wp:inline>
        </w:drawing>
      </w:r>
    </w:p>
    <w:p w14:paraId="67014B06" w14:textId="79098DB8" w:rsidR="00F672CF" w:rsidRDefault="00994EE1" w:rsidP="00746920">
      <w:pPr>
        <w:spacing w:line="240" w:lineRule="auto"/>
        <w:jc w:val="both"/>
        <w:rPr>
          <w:rFonts w:ascii="Arial" w:hAnsi="Arial" w:cs="Arial"/>
          <w:sz w:val="20"/>
          <w:szCs w:val="20"/>
        </w:rPr>
      </w:pPr>
      <w:r>
        <w:rPr>
          <w:rFonts w:ascii="Arial" w:hAnsi="Arial" w:cs="Arial"/>
          <w:sz w:val="20"/>
          <w:szCs w:val="20"/>
        </w:rPr>
        <w:t>Slika 10</w:t>
      </w:r>
      <w:r w:rsidR="00CB61B7" w:rsidRPr="0061539B">
        <w:rPr>
          <w:rFonts w:ascii="Arial" w:hAnsi="Arial" w:cs="Arial"/>
          <w:sz w:val="20"/>
          <w:szCs w:val="20"/>
        </w:rPr>
        <w:t>. Prikaz reprezentativnog prereza moždanog debla štakora kontrolne životinje (A</w:t>
      </w:r>
      <w:r w:rsidR="008F4661">
        <w:rPr>
          <w:rFonts w:ascii="Arial" w:hAnsi="Arial" w:cs="Arial"/>
          <w:sz w:val="20"/>
          <w:szCs w:val="20"/>
        </w:rPr>
        <w:t>), kontrolne životinje nakon akutne peroralne administracije (B) i</w:t>
      </w:r>
      <w:r w:rsidR="00F86622">
        <w:rPr>
          <w:rFonts w:ascii="Arial" w:hAnsi="Arial" w:cs="Arial"/>
          <w:sz w:val="20"/>
          <w:szCs w:val="20"/>
        </w:rPr>
        <w:t>li</w:t>
      </w:r>
      <w:r w:rsidR="008F4661">
        <w:rPr>
          <w:rFonts w:ascii="Arial" w:hAnsi="Arial" w:cs="Arial"/>
          <w:sz w:val="20"/>
          <w:szCs w:val="20"/>
        </w:rPr>
        <w:t xml:space="preserve"> akutne intraperitonealne administracije (C) D galaktoze, STZ-icv životinje (D), STZ-icv životinje nakon akutne peroralne administracije (E) i</w:t>
      </w:r>
      <w:r w:rsidR="00F86622">
        <w:rPr>
          <w:rFonts w:ascii="Arial" w:hAnsi="Arial" w:cs="Arial"/>
          <w:sz w:val="20"/>
          <w:szCs w:val="20"/>
        </w:rPr>
        <w:t>li</w:t>
      </w:r>
      <w:r w:rsidR="008F4661">
        <w:rPr>
          <w:rFonts w:ascii="Arial" w:hAnsi="Arial" w:cs="Arial"/>
          <w:sz w:val="20"/>
          <w:szCs w:val="20"/>
        </w:rPr>
        <w:t xml:space="preserve"> akutne intraperitonealne administracije</w:t>
      </w:r>
      <w:r w:rsidR="00F86622">
        <w:rPr>
          <w:rFonts w:ascii="Arial" w:hAnsi="Arial" w:cs="Arial"/>
          <w:sz w:val="20"/>
          <w:szCs w:val="20"/>
        </w:rPr>
        <w:t xml:space="preserve"> (F</w:t>
      </w:r>
      <w:r w:rsidR="00493FCD">
        <w:rPr>
          <w:rFonts w:ascii="Arial" w:hAnsi="Arial" w:cs="Arial"/>
          <w:sz w:val="20"/>
          <w:szCs w:val="20"/>
        </w:rPr>
        <w:t>) D-</w:t>
      </w:r>
      <w:r w:rsidR="008F4661">
        <w:rPr>
          <w:rFonts w:ascii="Arial" w:hAnsi="Arial" w:cs="Arial"/>
          <w:sz w:val="20"/>
          <w:szCs w:val="20"/>
        </w:rPr>
        <w:t>galaktoz</w:t>
      </w:r>
      <w:r w:rsidR="00F86622">
        <w:rPr>
          <w:rFonts w:ascii="Arial" w:hAnsi="Arial" w:cs="Arial"/>
          <w:sz w:val="20"/>
          <w:szCs w:val="20"/>
        </w:rPr>
        <w:t>e</w:t>
      </w:r>
      <w:r w:rsidR="00CB61B7" w:rsidRPr="00493FCD">
        <w:rPr>
          <w:rFonts w:ascii="Arial" w:hAnsi="Arial" w:cs="Arial"/>
          <w:sz w:val="20"/>
          <w:szCs w:val="20"/>
        </w:rPr>
        <w:t xml:space="preserve">. </w:t>
      </w:r>
      <w:r>
        <w:rPr>
          <w:rFonts w:ascii="Arial" w:hAnsi="Arial" w:cs="Arial"/>
          <w:sz w:val="20"/>
          <w:szCs w:val="20"/>
        </w:rPr>
        <w:t xml:space="preserve">Ekspresija </w:t>
      </w:r>
      <w:r w:rsidR="008F4661" w:rsidRPr="00493FCD">
        <w:rPr>
          <w:rFonts w:ascii="Arial" w:hAnsi="Arial" w:cs="Arial"/>
          <w:sz w:val="20"/>
          <w:szCs w:val="20"/>
        </w:rPr>
        <w:t xml:space="preserve">pP70S6K </w:t>
      </w:r>
      <w:r w:rsidR="00CB61B7" w:rsidRPr="00493FCD">
        <w:rPr>
          <w:rFonts w:ascii="Arial" w:hAnsi="Arial" w:cs="Arial"/>
          <w:sz w:val="20"/>
          <w:szCs w:val="20"/>
        </w:rPr>
        <w:t xml:space="preserve">vidljiva je kao </w:t>
      </w:r>
      <w:r w:rsidR="008F4661" w:rsidRPr="00493FCD">
        <w:rPr>
          <w:rFonts w:ascii="Arial" w:hAnsi="Arial" w:cs="Arial"/>
          <w:sz w:val="20"/>
          <w:szCs w:val="20"/>
        </w:rPr>
        <w:t>crveno</w:t>
      </w:r>
      <w:r w:rsidR="00CB61B7" w:rsidRPr="00493FCD">
        <w:rPr>
          <w:rFonts w:ascii="Arial" w:hAnsi="Arial" w:cs="Arial"/>
          <w:sz w:val="20"/>
          <w:szCs w:val="20"/>
        </w:rPr>
        <w:t xml:space="preserve"> obo</w:t>
      </w:r>
      <w:r w:rsidR="00493FCD">
        <w:rPr>
          <w:rFonts w:ascii="Arial" w:hAnsi="Arial" w:cs="Arial"/>
          <w:sz w:val="20"/>
          <w:szCs w:val="20"/>
        </w:rPr>
        <w:t>jenje (označeno strelicama) (A - F</w:t>
      </w:r>
      <w:r w:rsidR="00CB61B7" w:rsidRPr="00493FCD">
        <w:rPr>
          <w:rFonts w:ascii="Arial" w:hAnsi="Arial" w:cs="Arial"/>
          <w:sz w:val="20"/>
          <w:szCs w:val="20"/>
        </w:rPr>
        <w:t xml:space="preserve">). Povećanje </w:t>
      </w:r>
      <w:r w:rsidR="00746920">
        <w:rPr>
          <w:rFonts w:ascii="Arial" w:hAnsi="Arial" w:cs="Arial"/>
          <w:sz w:val="20"/>
          <w:szCs w:val="20"/>
        </w:rPr>
        <w:t>20X</w:t>
      </w:r>
      <w:r w:rsidR="00CB61B7" w:rsidRPr="00493FCD">
        <w:rPr>
          <w:rFonts w:ascii="Arial" w:hAnsi="Arial" w:cs="Arial"/>
          <w:sz w:val="20"/>
          <w:szCs w:val="20"/>
        </w:rPr>
        <w:t xml:space="preserve"> (A –</w:t>
      </w:r>
      <w:r w:rsidR="008F4661" w:rsidRPr="00493FCD">
        <w:rPr>
          <w:rFonts w:ascii="Arial" w:hAnsi="Arial" w:cs="Arial"/>
          <w:sz w:val="20"/>
          <w:szCs w:val="20"/>
        </w:rPr>
        <w:t xml:space="preserve"> F</w:t>
      </w:r>
      <w:r w:rsidR="00CB61B7" w:rsidRPr="00493FCD">
        <w:rPr>
          <w:rFonts w:ascii="Arial" w:hAnsi="Arial" w:cs="Arial"/>
          <w:sz w:val="20"/>
          <w:szCs w:val="20"/>
        </w:rPr>
        <w:t>). XII – jezgra hypoglossusa; DMNX – dorzalna motorna jezgra vagusa; NTS – jezgra solitarnog trakta.</w:t>
      </w:r>
    </w:p>
    <w:p w14:paraId="5B498B32" w14:textId="77777777" w:rsidR="00746920" w:rsidRPr="00493FCD" w:rsidRDefault="00746920" w:rsidP="00746920">
      <w:pPr>
        <w:spacing w:line="240" w:lineRule="auto"/>
        <w:jc w:val="both"/>
        <w:rPr>
          <w:rFonts w:ascii="Arial" w:hAnsi="Arial" w:cs="Arial"/>
          <w:sz w:val="20"/>
          <w:szCs w:val="20"/>
        </w:rPr>
      </w:pPr>
    </w:p>
    <w:p w14:paraId="7FB62F35" w14:textId="77777777" w:rsidR="00511498" w:rsidRDefault="00F86622" w:rsidP="00511498">
      <w:pPr>
        <w:spacing w:line="360" w:lineRule="auto"/>
        <w:jc w:val="both"/>
      </w:pPr>
      <w:r w:rsidRPr="00493FCD">
        <w:rPr>
          <w:rFonts w:ascii="Arial" w:hAnsi="Arial" w:cs="Arial"/>
          <w:sz w:val="20"/>
          <w:szCs w:val="20"/>
        </w:rPr>
        <w:t>Imunofluorescencijskom analizom fosforiliranog IRS1 u DMNX zaključili smo da peroralna administracija  D-galaktoze povećava fosforilaciju u kontrolnih (</w:t>
      </w:r>
      <w:r w:rsidR="00746920">
        <w:rPr>
          <w:rFonts w:ascii="Arial" w:hAnsi="Arial" w:cs="Arial"/>
          <w:sz w:val="20"/>
          <w:szCs w:val="20"/>
        </w:rPr>
        <w:t>Slika 11</w:t>
      </w:r>
      <w:r w:rsidRPr="00493FCD">
        <w:rPr>
          <w:rFonts w:ascii="Arial" w:hAnsi="Arial" w:cs="Arial"/>
          <w:sz w:val="20"/>
          <w:szCs w:val="20"/>
        </w:rPr>
        <w:t>.B) i STZ-icv životinja (</w:t>
      </w:r>
      <w:r w:rsidR="00746920">
        <w:rPr>
          <w:rFonts w:ascii="Arial" w:hAnsi="Arial" w:cs="Arial"/>
          <w:sz w:val="20"/>
          <w:szCs w:val="20"/>
        </w:rPr>
        <w:t>S</w:t>
      </w:r>
      <w:r w:rsidRPr="00493FCD">
        <w:rPr>
          <w:rFonts w:ascii="Arial" w:hAnsi="Arial" w:cs="Arial"/>
          <w:sz w:val="20"/>
          <w:szCs w:val="20"/>
        </w:rPr>
        <w:t>lika1</w:t>
      </w:r>
      <w:r w:rsidR="00746920">
        <w:rPr>
          <w:rFonts w:ascii="Arial" w:hAnsi="Arial" w:cs="Arial"/>
          <w:sz w:val="20"/>
          <w:szCs w:val="20"/>
        </w:rPr>
        <w:t>1</w:t>
      </w:r>
      <w:r w:rsidRPr="00493FCD">
        <w:rPr>
          <w:rFonts w:ascii="Arial" w:hAnsi="Arial" w:cs="Arial"/>
          <w:sz w:val="20"/>
          <w:szCs w:val="20"/>
        </w:rPr>
        <w:t>.E),</w:t>
      </w:r>
      <w:r w:rsidR="00511498">
        <w:rPr>
          <w:rFonts w:ascii="Arial" w:hAnsi="Arial" w:cs="Arial"/>
          <w:sz w:val="20"/>
          <w:szCs w:val="20"/>
        </w:rPr>
        <w:t xml:space="preserve"> a</w:t>
      </w:r>
      <w:r w:rsidRPr="00493FCD">
        <w:rPr>
          <w:rFonts w:ascii="Arial" w:hAnsi="Arial" w:cs="Arial"/>
          <w:sz w:val="20"/>
          <w:szCs w:val="20"/>
        </w:rPr>
        <w:t xml:space="preserve"> intraperitonealna administracija D-galaktoze povećava fosforilaciju </w:t>
      </w:r>
      <w:r w:rsidR="00511498">
        <w:rPr>
          <w:rFonts w:ascii="Arial" w:hAnsi="Arial" w:cs="Arial"/>
          <w:sz w:val="20"/>
          <w:szCs w:val="20"/>
        </w:rPr>
        <w:t xml:space="preserve">samo </w:t>
      </w:r>
      <w:r w:rsidRPr="00493FCD">
        <w:rPr>
          <w:rFonts w:ascii="Arial" w:hAnsi="Arial" w:cs="Arial"/>
          <w:sz w:val="20"/>
          <w:szCs w:val="20"/>
        </w:rPr>
        <w:t>u ko</w:t>
      </w:r>
      <w:r w:rsidR="00511498">
        <w:rPr>
          <w:rFonts w:ascii="Arial" w:hAnsi="Arial" w:cs="Arial"/>
          <w:sz w:val="20"/>
          <w:szCs w:val="20"/>
        </w:rPr>
        <w:t xml:space="preserve">ntrolnih životinja (slika 10.C) dok je u </w:t>
      </w:r>
      <w:r w:rsidRPr="00493FCD">
        <w:rPr>
          <w:rFonts w:ascii="Arial" w:hAnsi="Arial" w:cs="Arial"/>
          <w:sz w:val="20"/>
          <w:szCs w:val="20"/>
        </w:rPr>
        <w:t>STZ-icv životinja</w:t>
      </w:r>
      <w:r w:rsidR="00511498">
        <w:rPr>
          <w:rFonts w:ascii="Arial" w:hAnsi="Arial" w:cs="Arial"/>
          <w:sz w:val="20"/>
          <w:szCs w:val="20"/>
        </w:rPr>
        <w:t xml:space="preserve"> smanjena</w:t>
      </w:r>
      <w:r w:rsidRPr="00493FCD">
        <w:rPr>
          <w:rFonts w:ascii="Arial" w:hAnsi="Arial" w:cs="Arial"/>
          <w:sz w:val="20"/>
          <w:szCs w:val="20"/>
        </w:rPr>
        <w:t xml:space="preserve"> (slika 1</w:t>
      </w:r>
      <w:r w:rsidR="00746920">
        <w:rPr>
          <w:rFonts w:ascii="Arial" w:hAnsi="Arial" w:cs="Arial"/>
          <w:sz w:val="20"/>
          <w:szCs w:val="20"/>
        </w:rPr>
        <w:t>1</w:t>
      </w:r>
      <w:r w:rsidRPr="00493FCD">
        <w:rPr>
          <w:rFonts w:ascii="Arial" w:hAnsi="Arial" w:cs="Arial"/>
          <w:sz w:val="20"/>
          <w:szCs w:val="20"/>
        </w:rPr>
        <w:t>.F).</w:t>
      </w:r>
      <w:r>
        <w:t xml:space="preserve"> </w:t>
      </w:r>
    </w:p>
    <w:p w14:paraId="059E9518" w14:textId="50C3B9A7" w:rsidR="00F86622" w:rsidRDefault="00511498" w:rsidP="00511498">
      <w:pPr>
        <w:spacing w:line="360" w:lineRule="auto"/>
        <w:jc w:val="both"/>
        <w:rPr>
          <w:rFonts w:ascii="Arial" w:hAnsi="Arial" w:cs="Arial"/>
          <w:sz w:val="20"/>
          <w:szCs w:val="20"/>
        </w:rPr>
      </w:pPr>
      <w:r>
        <w:lastRenderedPageBreak/>
        <w:br/>
      </w:r>
      <w:r w:rsidR="00F86622">
        <w:t xml:space="preserve"> </w:t>
      </w:r>
      <w:r w:rsidR="007D779C">
        <w:rPr>
          <w:noProof/>
          <w:lang w:val="en-GB" w:eastAsia="en-GB"/>
        </w:rPr>
        <w:drawing>
          <wp:inline distT="0" distB="0" distL="0" distR="0" wp14:anchorId="7D4992AC" wp14:editId="12B36E86">
            <wp:extent cx="5057775" cy="3345089"/>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2649" cy="3348313"/>
                    </a:xfrm>
                    <a:prstGeom prst="rect">
                      <a:avLst/>
                    </a:prstGeom>
                    <a:noFill/>
                    <a:ln>
                      <a:noFill/>
                    </a:ln>
                  </pic:spPr>
                </pic:pic>
              </a:graphicData>
            </a:graphic>
          </wp:inline>
        </w:drawing>
      </w:r>
      <w:r w:rsidR="00F86622">
        <w:br/>
      </w:r>
      <w:r w:rsidR="00F86622">
        <w:rPr>
          <w:rFonts w:ascii="Arial" w:hAnsi="Arial" w:cs="Arial"/>
          <w:sz w:val="20"/>
          <w:szCs w:val="20"/>
        </w:rPr>
        <w:t>Slika 1</w:t>
      </w:r>
      <w:r w:rsidR="00994EE1">
        <w:rPr>
          <w:rFonts w:ascii="Arial" w:hAnsi="Arial" w:cs="Arial"/>
          <w:sz w:val="20"/>
          <w:szCs w:val="20"/>
        </w:rPr>
        <w:t>1</w:t>
      </w:r>
      <w:r w:rsidR="00F86622" w:rsidRPr="0061539B">
        <w:rPr>
          <w:rFonts w:ascii="Arial" w:hAnsi="Arial" w:cs="Arial"/>
          <w:sz w:val="20"/>
          <w:szCs w:val="20"/>
        </w:rPr>
        <w:t>. Prikaz reprezentativnog prereza moždanog debla štakora kontrolne životinje (A</w:t>
      </w:r>
      <w:r w:rsidR="00F86622">
        <w:rPr>
          <w:rFonts w:ascii="Arial" w:hAnsi="Arial" w:cs="Arial"/>
          <w:sz w:val="20"/>
          <w:szCs w:val="20"/>
        </w:rPr>
        <w:t>), kontrolne životinje nakon akutne peroralne administracije (B) ili akutne intraperitonealne administracije (C) D galaktoze, STZ-icv životinje (D), STZ-icv životinje nakon akutne peroralne administracije (E) ili akutne intrape</w:t>
      </w:r>
      <w:r w:rsidR="00493FCD">
        <w:rPr>
          <w:rFonts w:ascii="Arial" w:hAnsi="Arial" w:cs="Arial"/>
          <w:sz w:val="20"/>
          <w:szCs w:val="20"/>
        </w:rPr>
        <w:t>ritonealne administracije (F) D-</w:t>
      </w:r>
      <w:r w:rsidR="00F86622">
        <w:rPr>
          <w:rFonts w:ascii="Arial" w:hAnsi="Arial" w:cs="Arial"/>
          <w:sz w:val="20"/>
          <w:szCs w:val="20"/>
        </w:rPr>
        <w:t>galaktoze</w:t>
      </w:r>
      <w:r w:rsidR="00994EE1">
        <w:rPr>
          <w:rFonts w:ascii="Arial" w:hAnsi="Arial" w:cs="Arial"/>
          <w:sz w:val="20"/>
          <w:szCs w:val="20"/>
        </w:rPr>
        <w:t>.</w:t>
      </w:r>
      <w:r w:rsidR="00F86622" w:rsidRPr="0061539B">
        <w:rPr>
          <w:rFonts w:ascii="Arial" w:hAnsi="Arial" w:cs="Arial"/>
          <w:sz w:val="20"/>
          <w:szCs w:val="20"/>
        </w:rPr>
        <w:t xml:space="preserve"> </w:t>
      </w:r>
      <w:r w:rsidR="00994EE1">
        <w:rPr>
          <w:rFonts w:ascii="Arial" w:hAnsi="Arial" w:cs="Arial"/>
          <w:sz w:val="20"/>
          <w:szCs w:val="20"/>
        </w:rPr>
        <w:t xml:space="preserve">Ekspresija </w:t>
      </w:r>
      <w:r w:rsidR="00F86622">
        <w:rPr>
          <w:rFonts w:ascii="Arial" w:hAnsi="Arial" w:cs="Arial"/>
          <w:sz w:val="20"/>
          <w:szCs w:val="20"/>
        </w:rPr>
        <w:t xml:space="preserve">pIRS1 </w:t>
      </w:r>
      <w:r w:rsidR="00F86622" w:rsidRPr="0061539B">
        <w:rPr>
          <w:rFonts w:ascii="Arial" w:hAnsi="Arial" w:cs="Arial"/>
          <w:sz w:val="20"/>
          <w:szCs w:val="20"/>
        </w:rPr>
        <w:t xml:space="preserve">vidljiva je kao </w:t>
      </w:r>
      <w:r w:rsidR="00F86622">
        <w:rPr>
          <w:rFonts w:ascii="Arial" w:hAnsi="Arial" w:cs="Arial"/>
          <w:sz w:val="20"/>
          <w:szCs w:val="20"/>
        </w:rPr>
        <w:t>crveno</w:t>
      </w:r>
      <w:r w:rsidR="00F86622" w:rsidRPr="0061539B">
        <w:rPr>
          <w:rFonts w:ascii="Arial" w:hAnsi="Arial" w:cs="Arial"/>
          <w:sz w:val="20"/>
          <w:szCs w:val="20"/>
        </w:rPr>
        <w:t xml:space="preserve"> obo</w:t>
      </w:r>
      <w:r w:rsidR="00493FCD">
        <w:rPr>
          <w:rFonts w:ascii="Arial" w:hAnsi="Arial" w:cs="Arial"/>
          <w:sz w:val="20"/>
          <w:szCs w:val="20"/>
        </w:rPr>
        <w:t>jenje (označeno strelicama) (A - F</w:t>
      </w:r>
      <w:r w:rsidR="00F86622" w:rsidRPr="0061539B">
        <w:rPr>
          <w:rFonts w:ascii="Arial" w:hAnsi="Arial" w:cs="Arial"/>
          <w:sz w:val="20"/>
          <w:szCs w:val="20"/>
        </w:rPr>
        <w:t xml:space="preserve">). Povećanje </w:t>
      </w:r>
      <w:r w:rsidR="00746920">
        <w:rPr>
          <w:rFonts w:ascii="Arial" w:hAnsi="Arial" w:cs="Arial"/>
          <w:sz w:val="20"/>
          <w:szCs w:val="20"/>
        </w:rPr>
        <w:t>20X</w:t>
      </w:r>
      <w:r w:rsidR="00F86622" w:rsidRPr="0061539B">
        <w:rPr>
          <w:rFonts w:ascii="Arial" w:hAnsi="Arial" w:cs="Arial"/>
          <w:sz w:val="20"/>
          <w:szCs w:val="20"/>
        </w:rPr>
        <w:t xml:space="preserve"> (A –</w:t>
      </w:r>
      <w:r w:rsidR="00F86622">
        <w:rPr>
          <w:rFonts w:ascii="Arial" w:hAnsi="Arial" w:cs="Arial"/>
          <w:sz w:val="20"/>
          <w:szCs w:val="20"/>
        </w:rPr>
        <w:t xml:space="preserve"> F</w:t>
      </w:r>
      <w:r w:rsidR="00F86622" w:rsidRPr="0061539B">
        <w:rPr>
          <w:rFonts w:ascii="Arial" w:hAnsi="Arial" w:cs="Arial"/>
          <w:sz w:val="20"/>
          <w:szCs w:val="20"/>
        </w:rPr>
        <w:t>). XII – jezgra hypoglossusa; DMNX – dorzalna motorna jezgra vagusa; NTS – jezgra solitarnog trakta.</w:t>
      </w:r>
    </w:p>
    <w:p w14:paraId="633B3FE5" w14:textId="77777777" w:rsidR="00746920" w:rsidRDefault="00746920" w:rsidP="00746920">
      <w:pPr>
        <w:spacing w:line="240" w:lineRule="auto"/>
        <w:jc w:val="both"/>
      </w:pPr>
    </w:p>
    <w:p w14:paraId="6C3123D7" w14:textId="5790E6FB" w:rsidR="00F86622" w:rsidRPr="00493FCD" w:rsidRDefault="00541016" w:rsidP="00746920">
      <w:pPr>
        <w:spacing w:line="360" w:lineRule="auto"/>
        <w:jc w:val="both"/>
        <w:rPr>
          <w:rFonts w:ascii="Arial" w:hAnsi="Arial" w:cs="Arial"/>
          <w:sz w:val="20"/>
          <w:szCs w:val="20"/>
        </w:rPr>
      </w:pPr>
      <w:r w:rsidRPr="00493FCD">
        <w:rPr>
          <w:rFonts w:ascii="Arial" w:hAnsi="Arial" w:cs="Arial"/>
          <w:sz w:val="20"/>
          <w:szCs w:val="20"/>
        </w:rPr>
        <w:t xml:space="preserve">Kako bi </w:t>
      </w:r>
      <w:r w:rsidR="00917BAD" w:rsidRPr="00493FCD">
        <w:rPr>
          <w:rFonts w:ascii="Arial" w:hAnsi="Arial" w:cs="Arial"/>
          <w:sz w:val="20"/>
          <w:szCs w:val="20"/>
        </w:rPr>
        <w:t>navedene metaboličke promjene mogli analizirati u kontekstu autofagije istražili smo promjene fosforilacije ULK1 na serinu 757 u stanicama DMNX na isti način kao i za prethodne proteine. Rezultati pokazuju da kod kontrolnih životinja akutna peroralna administracija D-galaktoze inhibira autofagiju (</w:t>
      </w:r>
      <w:r w:rsidR="00746920">
        <w:rPr>
          <w:rFonts w:ascii="Arial" w:hAnsi="Arial" w:cs="Arial"/>
          <w:sz w:val="20"/>
          <w:szCs w:val="20"/>
        </w:rPr>
        <w:t>Slika 12</w:t>
      </w:r>
      <w:r w:rsidR="00917BAD" w:rsidRPr="00493FCD">
        <w:rPr>
          <w:rFonts w:ascii="Arial" w:hAnsi="Arial" w:cs="Arial"/>
          <w:sz w:val="20"/>
          <w:szCs w:val="20"/>
        </w:rPr>
        <w:t>.B) što se vidi kao povećana imunoreaktivnost pULK1. Intraperitonealna administracija D-galaktoze kontrolnim životinjama potiče autofagiju u DMNX (</w:t>
      </w:r>
      <w:r w:rsidR="00746920">
        <w:rPr>
          <w:rFonts w:ascii="Arial" w:hAnsi="Arial" w:cs="Arial"/>
          <w:sz w:val="20"/>
          <w:szCs w:val="20"/>
        </w:rPr>
        <w:t>S</w:t>
      </w:r>
      <w:r w:rsidR="00917BAD" w:rsidRPr="00493FCD">
        <w:rPr>
          <w:rFonts w:ascii="Arial" w:hAnsi="Arial" w:cs="Arial"/>
          <w:sz w:val="20"/>
          <w:szCs w:val="20"/>
        </w:rPr>
        <w:t>lika 1</w:t>
      </w:r>
      <w:r w:rsidR="00746920">
        <w:rPr>
          <w:rFonts w:ascii="Arial" w:hAnsi="Arial" w:cs="Arial"/>
          <w:sz w:val="20"/>
          <w:szCs w:val="20"/>
        </w:rPr>
        <w:t>2</w:t>
      </w:r>
      <w:r w:rsidR="00917BAD" w:rsidRPr="00493FCD">
        <w:rPr>
          <w:rFonts w:ascii="Arial" w:hAnsi="Arial" w:cs="Arial"/>
          <w:sz w:val="20"/>
          <w:szCs w:val="20"/>
        </w:rPr>
        <w:t>.C). Čini se da je učinak D-galaktoze obrnut kod STZ-icv tretiranih životinja kod kojih akutna</w:t>
      </w:r>
      <w:r w:rsidR="00493FCD" w:rsidRPr="00493FCD">
        <w:rPr>
          <w:rFonts w:ascii="Arial" w:hAnsi="Arial" w:cs="Arial"/>
          <w:sz w:val="20"/>
          <w:szCs w:val="20"/>
        </w:rPr>
        <w:t xml:space="preserve"> peroralna</w:t>
      </w:r>
      <w:r w:rsidR="00917BAD" w:rsidRPr="00493FCD">
        <w:rPr>
          <w:rFonts w:ascii="Arial" w:hAnsi="Arial" w:cs="Arial"/>
          <w:sz w:val="20"/>
          <w:szCs w:val="20"/>
        </w:rPr>
        <w:t xml:space="preserve"> administracija inducira autofagiju (</w:t>
      </w:r>
      <w:r w:rsidR="00746920">
        <w:rPr>
          <w:rFonts w:ascii="Arial" w:hAnsi="Arial" w:cs="Arial"/>
          <w:sz w:val="20"/>
          <w:szCs w:val="20"/>
        </w:rPr>
        <w:t>S</w:t>
      </w:r>
      <w:r w:rsidR="00917BAD" w:rsidRPr="00493FCD">
        <w:rPr>
          <w:rFonts w:ascii="Arial" w:hAnsi="Arial" w:cs="Arial"/>
          <w:sz w:val="20"/>
          <w:szCs w:val="20"/>
        </w:rPr>
        <w:t>lika 1</w:t>
      </w:r>
      <w:r w:rsidR="00746920">
        <w:rPr>
          <w:rFonts w:ascii="Arial" w:hAnsi="Arial" w:cs="Arial"/>
          <w:sz w:val="20"/>
          <w:szCs w:val="20"/>
        </w:rPr>
        <w:t>2</w:t>
      </w:r>
      <w:r w:rsidR="00917BAD" w:rsidRPr="00493FCD">
        <w:rPr>
          <w:rFonts w:ascii="Arial" w:hAnsi="Arial" w:cs="Arial"/>
          <w:sz w:val="20"/>
          <w:szCs w:val="20"/>
        </w:rPr>
        <w:t xml:space="preserve">.E) što se vidi kao smanjena imunoreaktivnost pULK1, dok intraperitonealna administracija </w:t>
      </w:r>
      <w:r w:rsidR="00746920">
        <w:rPr>
          <w:rFonts w:ascii="Arial" w:hAnsi="Arial" w:cs="Arial"/>
          <w:sz w:val="20"/>
          <w:szCs w:val="20"/>
        </w:rPr>
        <w:t>dovodi do inhibicije (S</w:t>
      </w:r>
      <w:r w:rsidR="00493FCD" w:rsidRPr="00493FCD">
        <w:rPr>
          <w:rFonts w:ascii="Arial" w:hAnsi="Arial" w:cs="Arial"/>
          <w:sz w:val="20"/>
          <w:szCs w:val="20"/>
        </w:rPr>
        <w:t>lika 1</w:t>
      </w:r>
      <w:r w:rsidR="00746920">
        <w:rPr>
          <w:rFonts w:ascii="Arial" w:hAnsi="Arial" w:cs="Arial"/>
          <w:sz w:val="20"/>
          <w:szCs w:val="20"/>
        </w:rPr>
        <w:t>2</w:t>
      </w:r>
      <w:r w:rsidR="00493FCD" w:rsidRPr="00493FCD">
        <w:rPr>
          <w:rFonts w:ascii="Arial" w:hAnsi="Arial" w:cs="Arial"/>
          <w:sz w:val="20"/>
          <w:szCs w:val="20"/>
        </w:rPr>
        <w:t>.F).</w:t>
      </w:r>
      <w:r w:rsidR="00EA7F7A">
        <w:rPr>
          <w:rFonts w:ascii="Arial" w:hAnsi="Arial" w:cs="Arial"/>
          <w:sz w:val="20"/>
          <w:szCs w:val="20"/>
        </w:rPr>
        <w:t xml:space="preserve"> </w:t>
      </w:r>
    </w:p>
    <w:p w14:paraId="1655AD08" w14:textId="4A680675" w:rsidR="00F672CF" w:rsidRDefault="007D779C">
      <w:r>
        <w:rPr>
          <w:noProof/>
          <w:lang w:val="en-GB" w:eastAsia="en-GB"/>
        </w:rPr>
        <w:lastRenderedPageBreak/>
        <w:drawing>
          <wp:inline distT="0" distB="0" distL="0" distR="0" wp14:anchorId="58B2D04D" wp14:editId="5EEDEE0A">
            <wp:extent cx="5760720" cy="382524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825240"/>
                    </a:xfrm>
                    <a:prstGeom prst="rect">
                      <a:avLst/>
                    </a:prstGeom>
                    <a:noFill/>
                    <a:ln>
                      <a:noFill/>
                    </a:ln>
                  </pic:spPr>
                </pic:pic>
              </a:graphicData>
            </a:graphic>
          </wp:inline>
        </w:drawing>
      </w:r>
    </w:p>
    <w:p w14:paraId="6FDBCCF1" w14:textId="0AFF1ADA" w:rsidR="00F672CF" w:rsidRDefault="00994EE1" w:rsidP="00746920">
      <w:pPr>
        <w:spacing w:line="240" w:lineRule="auto"/>
        <w:jc w:val="both"/>
        <w:rPr>
          <w:rFonts w:ascii="Arial" w:hAnsi="Arial" w:cs="Arial"/>
          <w:sz w:val="20"/>
          <w:szCs w:val="20"/>
        </w:rPr>
      </w:pPr>
      <w:r>
        <w:rPr>
          <w:rFonts w:ascii="Arial" w:hAnsi="Arial" w:cs="Arial"/>
          <w:sz w:val="20"/>
          <w:szCs w:val="20"/>
        </w:rPr>
        <w:t>Slika 12</w:t>
      </w:r>
      <w:r w:rsidR="00493FCD" w:rsidRPr="0061539B">
        <w:rPr>
          <w:rFonts w:ascii="Arial" w:hAnsi="Arial" w:cs="Arial"/>
          <w:sz w:val="20"/>
          <w:szCs w:val="20"/>
        </w:rPr>
        <w:t>. Prikaz reprezentativnog prereza moždanog debla štakora kontrolne životinje (A</w:t>
      </w:r>
      <w:r w:rsidR="00493FCD">
        <w:rPr>
          <w:rFonts w:ascii="Arial" w:hAnsi="Arial" w:cs="Arial"/>
          <w:sz w:val="20"/>
          <w:szCs w:val="20"/>
        </w:rPr>
        <w:t>), kontrolne životinje nakon akutne peroralne administracije (B) ili akutne intraperitonealne administracije (C) D galaktoze, STZ-icv životinje (D), STZ-icv životinje nakon akutne peroralne administracije (E) ili akutne intraperitonealne administracije (F) D-galaktoze</w:t>
      </w:r>
      <w:r>
        <w:rPr>
          <w:rFonts w:ascii="Arial" w:hAnsi="Arial" w:cs="Arial"/>
          <w:sz w:val="20"/>
          <w:szCs w:val="20"/>
        </w:rPr>
        <w:t>.</w:t>
      </w:r>
      <w:r w:rsidR="00493FCD" w:rsidRPr="0061539B">
        <w:rPr>
          <w:rFonts w:ascii="Arial" w:hAnsi="Arial" w:cs="Arial"/>
          <w:sz w:val="20"/>
          <w:szCs w:val="20"/>
        </w:rPr>
        <w:t xml:space="preserve"> </w:t>
      </w:r>
      <w:r>
        <w:rPr>
          <w:rFonts w:ascii="Arial" w:hAnsi="Arial" w:cs="Arial"/>
          <w:sz w:val="20"/>
          <w:szCs w:val="20"/>
        </w:rPr>
        <w:t xml:space="preserve">Ekspresija pULK1 </w:t>
      </w:r>
      <w:r w:rsidR="00493FCD" w:rsidRPr="0061539B">
        <w:rPr>
          <w:rFonts w:ascii="Arial" w:hAnsi="Arial" w:cs="Arial"/>
          <w:sz w:val="20"/>
          <w:szCs w:val="20"/>
        </w:rPr>
        <w:t xml:space="preserve">vidljiva je kao </w:t>
      </w:r>
      <w:r w:rsidR="00493FCD">
        <w:rPr>
          <w:rFonts w:ascii="Arial" w:hAnsi="Arial" w:cs="Arial"/>
          <w:sz w:val="20"/>
          <w:szCs w:val="20"/>
        </w:rPr>
        <w:t>crveno</w:t>
      </w:r>
      <w:r w:rsidR="00493FCD" w:rsidRPr="0061539B">
        <w:rPr>
          <w:rFonts w:ascii="Arial" w:hAnsi="Arial" w:cs="Arial"/>
          <w:sz w:val="20"/>
          <w:szCs w:val="20"/>
        </w:rPr>
        <w:t xml:space="preserve"> obo</w:t>
      </w:r>
      <w:r w:rsidR="00493FCD">
        <w:rPr>
          <w:rFonts w:ascii="Arial" w:hAnsi="Arial" w:cs="Arial"/>
          <w:sz w:val="20"/>
          <w:szCs w:val="20"/>
        </w:rPr>
        <w:t>jenje (označeno strelicama) (A - F</w:t>
      </w:r>
      <w:r w:rsidR="00746920">
        <w:rPr>
          <w:rFonts w:ascii="Arial" w:hAnsi="Arial" w:cs="Arial"/>
          <w:sz w:val="20"/>
          <w:szCs w:val="20"/>
        </w:rPr>
        <w:t>). Povećanje 20X</w:t>
      </w:r>
      <w:r w:rsidR="00493FCD" w:rsidRPr="0061539B">
        <w:rPr>
          <w:rFonts w:ascii="Arial" w:hAnsi="Arial" w:cs="Arial"/>
          <w:sz w:val="20"/>
          <w:szCs w:val="20"/>
        </w:rPr>
        <w:t xml:space="preserve"> (A –</w:t>
      </w:r>
      <w:r w:rsidR="00493FCD">
        <w:rPr>
          <w:rFonts w:ascii="Arial" w:hAnsi="Arial" w:cs="Arial"/>
          <w:sz w:val="20"/>
          <w:szCs w:val="20"/>
        </w:rPr>
        <w:t xml:space="preserve"> F</w:t>
      </w:r>
      <w:r w:rsidR="00493FCD" w:rsidRPr="0061539B">
        <w:rPr>
          <w:rFonts w:ascii="Arial" w:hAnsi="Arial" w:cs="Arial"/>
          <w:sz w:val="20"/>
          <w:szCs w:val="20"/>
        </w:rPr>
        <w:t>). XII – jezgra hypoglossusa; DMNX – dorzalna motorna jezgra vagusa; NTS – jezgra solitarnog trakta.</w:t>
      </w:r>
    </w:p>
    <w:p w14:paraId="4634ADF7" w14:textId="77777777" w:rsidR="00746920" w:rsidRDefault="00144197" w:rsidP="00746920">
      <w:pPr>
        <w:pStyle w:val="ListParagraph"/>
        <w:numPr>
          <w:ilvl w:val="1"/>
          <w:numId w:val="8"/>
        </w:numPr>
        <w:spacing w:line="360" w:lineRule="auto"/>
        <w:jc w:val="both"/>
        <w:rPr>
          <w:rFonts w:ascii="Arial" w:hAnsi="Arial" w:cs="Arial"/>
          <w:sz w:val="20"/>
          <w:szCs w:val="20"/>
        </w:rPr>
      </w:pPr>
      <w:r w:rsidRPr="00746920">
        <w:rPr>
          <w:rFonts w:ascii="Arial" w:hAnsi="Arial" w:cs="Arial"/>
          <w:b/>
        </w:rPr>
        <w:t>Western blot analiza promjene ekspresije metaboličkih proteina u moždanom deblu štakora mj</w:t>
      </w:r>
      <w:r w:rsidR="00746920">
        <w:rPr>
          <w:rFonts w:ascii="Arial" w:hAnsi="Arial" w:cs="Arial"/>
          <w:b/>
        </w:rPr>
        <w:t>esec dana nakon primjene STZ-icv</w:t>
      </w:r>
    </w:p>
    <w:p w14:paraId="734F4BD0" w14:textId="77777777" w:rsidR="00746920" w:rsidRDefault="00746920" w:rsidP="00746920">
      <w:pPr>
        <w:spacing w:line="360" w:lineRule="auto"/>
        <w:jc w:val="both"/>
        <w:rPr>
          <w:rFonts w:ascii="Arial" w:hAnsi="Arial" w:cs="Arial"/>
          <w:sz w:val="20"/>
          <w:szCs w:val="20"/>
        </w:rPr>
      </w:pPr>
    </w:p>
    <w:p w14:paraId="67EDE8A0" w14:textId="4DE716EE" w:rsidR="00144197" w:rsidRPr="00746920" w:rsidRDefault="00144197" w:rsidP="00746920">
      <w:pPr>
        <w:spacing w:line="360" w:lineRule="auto"/>
        <w:jc w:val="both"/>
        <w:rPr>
          <w:rFonts w:ascii="Arial" w:hAnsi="Arial" w:cs="Arial"/>
          <w:sz w:val="20"/>
          <w:szCs w:val="20"/>
        </w:rPr>
      </w:pPr>
      <w:r w:rsidRPr="00746920">
        <w:rPr>
          <w:rFonts w:ascii="Arial" w:hAnsi="Arial" w:cs="Arial"/>
          <w:sz w:val="20"/>
          <w:szCs w:val="20"/>
        </w:rPr>
        <w:t>Kako bi se uvjerili da su metaboličke promjene koje smo pronašli specifične za DMNX i da se ne  radi o promjenama u svim jezgrama moždanog debla, western blot metodom analizirali smo ukupnu promjenu fosforilacije ključnih metaboličkih proteina u lizatu cijelog moždanog debla štakora mjesec dana nakon STZ-icv (</w:t>
      </w:r>
      <w:r w:rsidR="00746920">
        <w:rPr>
          <w:rFonts w:ascii="Arial" w:hAnsi="Arial" w:cs="Arial"/>
          <w:sz w:val="20"/>
          <w:szCs w:val="20"/>
        </w:rPr>
        <w:t>S</w:t>
      </w:r>
      <w:r w:rsidRPr="00746920">
        <w:rPr>
          <w:rFonts w:ascii="Arial" w:hAnsi="Arial" w:cs="Arial"/>
          <w:sz w:val="20"/>
          <w:szCs w:val="20"/>
        </w:rPr>
        <w:t xml:space="preserve">lika </w:t>
      </w:r>
      <w:r w:rsidR="00746920">
        <w:rPr>
          <w:rFonts w:ascii="Arial" w:hAnsi="Arial" w:cs="Arial"/>
          <w:sz w:val="20"/>
          <w:szCs w:val="20"/>
        </w:rPr>
        <w:t>13</w:t>
      </w:r>
      <w:r w:rsidRPr="00746920">
        <w:rPr>
          <w:rFonts w:ascii="Arial" w:hAnsi="Arial" w:cs="Arial"/>
          <w:sz w:val="20"/>
          <w:szCs w:val="20"/>
        </w:rPr>
        <w:t xml:space="preserve">. A - I). Statistička obrada pokazala je da zaista nema značajne </w:t>
      </w:r>
      <w:r w:rsidR="00746920">
        <w:rPr>
          <w:rFonts w:ascii="Arial" w:hAnsi="Arial" w:cs="Arial"/>
          <w:sz w:val="20"/>
          <w:szCs w:val="20"/>
        </w:rPr>
        <w:t>razlike u fosforilaciji P70S6K</w:t>
      </w:r>
      <w:r w:rsidRPr="00746920">
        <w:rPr>
          <w:rFonts w:ascii="Arial" w:hAnsi="Arial" w:cs="Arial"/>
          <w:sz w:val="20"/>
          <w:szCs w:val="20"/>
        </w:rPr>
        <w:t xml:space="preserve"> (</w:t>
      </w:r>
      <w:r w:rsidR="00746920">
        <w:rPr>
          <w:rFonts w:ascii="Arial" w:hAnsi="Arial" w:cs="Arial"/>
          <w:sz w:val="20"/>
          <w:szCs w:val="20"/>
        </w:rPr>
        <w:t>S</w:t>
      </w:r>
      <w:r w:rsidRPr="00746920">
        <w:rPr>
          <w:rFonts w:ascii="Arial" w:hAnsi="Arial" w:cs="Arial"/>
          <w:sz w:val="20"/>
          <w:szCs w:val="20"/>
        </w:rPr>
        <w:t xml:space="preserve">lika </w:t>
      </w:r>
      <w:r w:rsidR="00746920">
        <w:rPr>
          <w:rFonts w:ascii="Arial" w:hAnsi="Arial" w:cs="Arial"/>
          <w:sz w:val="20"/>
          <w:szCs w:val="20"/>
        </w:rPr>
        <w:t>13</w:t>
      </w:r>
      <w:r w:rsidRPr="00746920">
        <w:rPr>
          <w:rFonts w:ascii="Arial" w:hAnsi="Arial" w:cs="Arial"/>
          <w:sz w:val="20"/>
          <w:szCs w:val="20"/>
        </w:rPr>
        <w:t>.A), ERK1/2 (p=1.000) (</w:t>
      </w:r>
      <w:r w:rsidR="00746920">
        <w:rPr>
          <w:rFonts w:ascii="Arial" w:hAnsi="Arial" w:cs="Arial"/>
          <w:sz w:val="20"/>
          <w:szCs w:val="20"/>
        </w:rPr>
        <w:t>S</w:t>
      </w:r>
      <w:r w:rsidRPr="00746920">
        <w:rPr>
          <w:rFonts w:ascii="Arial" w:hAnsi="Arial" w:cs="Arial"/>
          <w:sz w:val="20"/>
          <w:szCs w:val="20"/>
        </w:rPr>
        <w:t>lika</w:t>
      </w:r>
      <w:r w:rsidR="00746920">
        <w:rPr>
          <w:rFonts w:ascii="Arial" w:hAnsi="Arial" w:cs="Arial"/>
          <w:sz w:val="20"/>
          <w:szCs w:val="20"/>
        </w:rPr>
        <w:t xml:space="preserve"> 13</w:t>
      </w:r>
      <w:r w:rsidRPr="00746920">
        <w:rPr>
          <w:rFonts w:ascii="Arial" w:hAnsi="Arial" w:cs="Arial"/>
          <w:sz w:val="20"/>
          <w:szCs w:val="20"/>
        </w:rPr>
        <w:t>.D) i ULK1 (p=0.484) (</w:t>
      </w:r>
      <w:r w:rsidR="00746920">
        <w:rPr>
          <w:rFonts w:ascii="Arial" w:hAnsi="Arial" w:cs="Arial"/>
          <w:sz w:val="20"/>
          <w:szCs w:val="20"/>
        </w:rPr>
        <w:t>S</w:t>
      </w:r>
      <w:r w:rsidRPr="00746920">
        <w:rPr>
          <w:rFonts w:ascii="Arial" w:hAnsi="Arial" w:cs="Arial"/>
          <w:sz w:val="20"/>
          <w:szCs w:val="20"/>
        </w:rPr>
        <w:t xml:space="preserve">lika </w:t>
      </w:r>
      <w:r w:rsidR="00746920">
        <w:rPr>
          <w:rFonts w:ascii="Arial" w:hAnsi="Arial" w:cs="Arial"/>
          <w:sz w:val="20"/>
          <w:szCs w:val="20"/>
        </w:rPr>
        <w:t>13</w:t>
      </w:r>
      <w:r w:rsidRPr="00746920">
        <w:rPr>
          <w:rFonts w:ascii="Arial" w:hAnsi="Arial" w:cs="Arial"/>
          <w:sz w:val="20"/>
          <w:szCs w:val="20"/>
        </w:rPr>
        <w:t xml:space="preserve">.G). </w:t>
      </w:r>
    </w:p>
    <w:p w14:paraId="2D022ABA" w14:textId="77777777" w:rsidR="00144197" w:rsidRDefault="00144197" w:rsidP="00144197">
      <w:r>
        <w:rPr>
          <w:noProof/>
          <w:lang w:val="en-GB" w:eastAsia="en-GB"/>
        </w:rPr>
        <w:lastRenderedPageBreak/>
        <w:drawing>
          <wp:inline distT="0" distB="0" distL="0" distR="0" wp14:anchorId="479A5945" wp14:editId="075F7760">
            <wp:extent cx="5314950" cy="6257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4950" cy="6257925"/>
                    </a:xfrm>
                    <a:prstGeom prst="rect">
                      <a:avLst/>
                    </a:prstGeom>
                    <a:noFill/>
                    <a:ln>
                      <a:noFill/>
                    </a:ln>
                  </pic:spPr>
                </pic:pic>
              </a:graphicData>
            </a:graphic>
          </wp:inline>
        </w:drawing>
      </w:r>
    </w:p>
    <w:p w14:paraId="0EF1A905" w14:textId="47E3B54C" w:rsidR="00144197" w:rsidRDefault="00994EE1" w:rsidP="00746920">
      <w:pPr>
        <w:spacing w:line="240" w:lineRule="auto"/>
        <w:jc w:val="both"/>
        <w:rPr>
          <w:rFonts w:ascii="Arial" w:hAnsi="Arial" w:cs="Arial"/>
          <w:sz w:val="20"/>
          <w:szCs w:val="20"/>
        </w:rPr>
      </w:pPr>
      <w:r>
        <w:rPr>
          <w:rFonts w:ascii="Arial" w:hAnsi="Arial" w:cs="Arial"/>
          <w:sz w:val="20"/>
          <w:szCs w:val="20"/>
        </w:rPr>
        <w:t>Slika 13</w:t>
      </w:r>
      <w:r w:rsidR="00144197" w:rsidRPr="005208C9">
        <w:rPr>
          <w:rFonts w:ascii="Arial" w:hAnsi="Arial" w:cs="Arial"/>
          <w:sz w:val="20"/>
          <w:szCs w:val="20"/>
        </w:rPr>
        <w:t xml:space="preserve">. Western blot analiza omjera relativnog intenziteta signala fosforiliranog i ukupnog proteina P70S6K (A - C), ERK1/2 (D - F) te ULK1 (G – I) u moždanom deblu </w:t>
      </w:r>
      <w:r w:rsidR="00F60CC5">
        <w:rPr>
          <w:rFonts w:ascii="Arial" w:hAnsi="Arial" w:cs="Arial"/>
          <w:sz w:val="20"/>
          <w:szCs w:val="20"/>
        </w:rPr>
        <w:t>kontrolne životinje (CTR), kontrolne životinje nakon akutne peroralne (CTR+PO) ili akutne intraperitonealne administracije (CTR+IP) D-galaktoze, STZ-icv životinje mjesec dana nakon tretmana (STZ), STZ-icv životinje nakon akutne peroralne (STZ+PO) ili akutne intraperitonealne administracije (STZ+IP) D-galaktoze.</w:t>
      </w:r>
      <w:r w:rsidR="00144197" w:rsidRPr="005208C9">
        <w:rPr>
          <w:rFonts w:ascii="Arial" w:hAnsi="Arial" w:cs="Arial"/>
          <w:sz w:val="20"/>
          <w:szCs w:val="20"/>
        </w:rPr>
        <w:t xml:space="preserve"> Razlika omjera relativnog intenziteta signala fosforiliranog i ukupnog P70S6K u moždanom deblu STZ-icv životinja  i kontrolne skupine</w:t>
      </w:r>
      <w:r w:rsidR="00F60CC5">
        <w:rPr>
          <w:rFonts w:ascii="Arial" w:hAnsi="Arial" w:cs="Arial"/>
          <w:sz w:val="20"/>
          <w:szCs w:val="20"/>
        </w:rPr>
        <w:t xml:space="preserve"> u modelu akutne primjene D-galaktoze</w:t>
      </w:r>
      <w:r w:rsidR="00144197" w:rsidRPr="005208C9">
        <w:rPr>
          <w:rFonts w:ascii="Arial" w:hAnsi="Arial" w:cs="Arial"/>
          <w:sz w:val="20"/>
          <w:szCs w:val="20"/>
        </w:rPr>
        <w:t xml:space="preserve"> (A). Prikaz reprezentativnih membrana s elektroforetskim razdvajanjem proteina moždanog debla obilježenih pP70S6K  protutijelom (B) i P70S6K protutijelom (C) te pripadajućim membranama obilježenim protutijelom na  β aktin (B i C). Razlika omjera relativnog intenziteta signala fosforiliranog i ukupnog ERK1/2 u moždanom deblu STZ-icv životinja  i kontrolne skupine </w:t>
      </w:r>
      <w:r w:rsidR="00F60CC5">
        <w:rPr>
          <w:rFonts w:ascii="Arial" w:hAnsi="Arial" w:cs="Arial"/>
          <w:sz w:val="20"/>
          <w:szCs w:val="20"/>
        </w:rPr>
        <w:t>u modelu akutne primjene D-galaktoze</w:t>
      </w:r>
      <w:r w:rsidR="00F60CC5" w:rsidRPr="005208C9">
        <w:rPr>
          <w:rFonts w:ascii="Arial" w:hAnsi="Arial" w:cs="Arial"/>
          <w:sz w:val="20"/>
          <w:szCs w:val="20"/>
        </w:rPr>
        <w:t xml:space="preserve"> </w:t>
      </w:r>
      <w:r w:rsidR="00144197" w:rsidRPr="005208C9">
        <w:rPr>
          <w:rFonts w:ascii="Arial" w:hAnsi="Arial" w:cs="Arial"/>
          <w:sz w:val="20"/>
          <w:szCs w:val="20"/>
        </w:rPr>
        <w:t xml:space="preserve">(D). Prikaz reprezentativnih membrana s elektroforetskim razdvajanjem proteina moždanog debla obilježenih pERK1/2  protutijelom (E) i ERK1/2 protutijelom (F) te pripadajućim membranama obilježenim protutijelom na β aktin E i F). Razlika omjera relativnog intenziteta signala fosforiliranog i ukupnog ULK1 u moždanom deblu STZ-icv životinja  i kontrolne skupine </w:t>
      </w:r>
      <w:r w:rsidR="00F60CC5">
        <w:rPr>
          <w:rFonts w:ascii="Arial" w:hAnsi="Arial" w:cs="Arial"/>
          <w:sz w:val="20"/>
          <w:szCs w:val="20"/>
        </w:rPr>
        <w:t>u modelu akutne primjene D-galaktoze</w:t>
      </w:r>
      <w:r w:rsidR="00F60CC5" w:rsidRPr="005208C9">
        <w:rPr>
          <w:rFonts w:ascii="Arial" w:hAnsi="Arial" w:cs="Arial"/>
          <w:sz w:val="20"/>
          <w:szCs w:val="20"/>
        </w:rPr>
        <w:t xml:space="preserve"> </w:t>
      </w:r>
      <w:r w:rsidR="00144197" w:rsidRPr="005208C9">
        <w:rPr>
          <w:rFonts w:ascii="Arial" w:hAnsi="Arial" w:cs="Arial"/>
          <w:sz w:val="20"/>
          <w:szCs w:val="20"/>
        </w:rPr>
        <w:t xml:space="preserve">(G). Prikaz reprezentativnih membrana s elektroforetskim razdvajanjem proteina moždanog debla obilježenih pULK1 protutijelom </w:t>
      </w:r>
      <w:r w:rsidR="00144197" w:rsidRPr="005208C9">
        <w:rPr>
          <w:rFonts w:ascii="Arial" w:hAnsi="Arial" w:cs="Arial"/>
          <w:sz w:val="20"/>
          <w:szCs w:val="20"/>
        </w:rPr>
        <w:lastRenderedPageBreak/>
        <w:t xml:space="preserve">(H) i ULK1 protutijelom (I) te pripadajućim membranama obilježenim protutijelom na β aktin (H i I). Rezultati su izraženi kao aritmetička sredina ±SD. p/t – omjer fosforiliranog i ukupnog proteina; P70S6K – ribosomalna </w:t>
      </w:r>
      <w:r w:rsidR="00F60CC5" w:rsidRPr="005208C9">
        <w:rPr>
          <w:rFonts w:ascii="Arial" w:hAnsi="Arial" w:cs="Arial"/>
          <w:sz w:val="20"/>
          <w:szCs w:val="20"/>
        </w:rPr>
        <w:t>beta-1</w:t>
      </w:r>
      <w:r w:rsidR="00F60CC5">
        <w:rPr>
          <w:rFonts w:ascii="Arial" w:hAnsi="Arial" w:cs="Arial"/>
          <w:sz w:val="20"/>
          <w:szCs w:val="20"/>
        </w:rPr>
        <w:t xml:space="preserve"> kinaza </w:t>
      </w:r>
      <w:r w:rsidR="00144197" w:rsidRPr="005208C9">
        <w:rPr>
          <w:rFonts w:ascii="Arial" w:hAnsi="Arial" w:cs="Arial"/>
          <w:sz w:val="20"/>
          <w:szCs w:val="20"/>
        </w:rPr>
        <w:t>protein</w:t>
      </w:r>
      <w:r w:rsidR="00F60CC5">
        <w:rPr>
          <w:rFonts w:ascii="Arial" w:hAnsi="Arial" w:cs="Arial"/>
          <w:sz w:val="20"/>
          <w:szCs w:val="20"/>
        </w:rPr>
        <w:t>a</w:t>
      </w:r>
      <w:r w:rsidR="00144197" w:rsidRPr="005208C9">
        <w:rPr>
          <w:rFonts w:ascii="Arial" w:hAnsi="Arial" w:cs="Arial"/>
          <w:sz w:val="20"/>
          <w:szCs w:val="20"/>
        </w:rPr>
        <w:t xml:space="preserve"> S6</w:t>
      </w:r>
      <w:r w:rsidR="00F60CC5">
        <w:rPr>
          <w:rFonts w:ascii="Arial" w:hAnsi="Arial" w:cs="Arial"/>
          <w:sz w:val="20"/>
          <w:szCs w:val="20"/>
        </w:rPr>
        <w:t xml:space="preserve">; pP70S6K – </w:t>
      </w:r>
      <w:r w:rsidR="00144197" w:rsidRPr="005208C9">
        <w:rPr>
          <w:rFonts w:ascii="Arial" w:hAnsi="Arial" w:cs="Arial"/>
          <w:color w:val="000000" w:themeColor="text1"/>
          <w:sz w:val="20"/>
          <w:szCs w:val="20"/>
        </w:rPr>
        <w:t xml:space="preserve">fosforilirana inačica </w:t>
      </w:r>
      <w:r w:rsidR="00144197" w:rsidRPr="005208C9">
        <w:rPr>
          <w:rFonts w:ascii="Arial" w:hAnsi="Arial" w:cs="Arial"/>
          <w:sz w:val="20"/>
          <w:szCs w:val="20"/>
        </w:rPr>
        <w:t xml:space="preserve">ribosomalne </w:t>
      </w:r>
      <w:r w:rsidR="00F60CC5" w:rsidRPr="005208C9">
        <w:rPr>
          <w:rFonts w:ascii="Arial" w:hAnsi="Arial" w:cs="Arial"/>
          <w:sz w:val="20"/>
          <w:szCs w:val="20"/>
        </w:rPr>
        <w:t>beta-1</w:t>
      </w:r>
      <w:r w:rsidR="00F60CC5">
        <w:rPr>
          <w:rFonts w:ascii="Arial" w:hAnsi="Arial" w:cs="Arial"/>
          <w:sz w:val="20"/>
          <w:szCs w:val="20"/>
        </w:rPr>
        <w:t xml:space="preserve"> kinaze </w:t>
      </w:r>
      <w:r w:rsidR="00F60CC5" w:rsidRPr="005208C9">
        <w:rPr>
          <w:rFonts w:ascii="Arial" w:hAnsi="Arial" w:cs="Arial"/>
          <w:sz w:val="20"/>
          <w:szCs w:val="20"/>
        </w:rPr>
        <w:t>protein</w:t>
      </w:r>
      <w:r w:rsidR="00F60CC5">
        <w:rPr>
          <w:rFonts w:ascii="Arial" w:hAnsi="Arial" w:cs="Arial"/>
          <w:sz w:val="20"/>
          <w:szCs w:val="20"/>
        </w:rPr>
        <w:t>a</w:t>
      </w:r>
      <w:r w:rsidR="00F60CC5" w:rsidRPr="005208C9">
        <w:rPr>
          <w:rFonts w:ascii="Arial" w:hAnsi="Arial" w:cs="Arial"/>
          <w:sz w:val="20"/>
          <w:szCs w:val="20"/>
        </w:rPr>
        <w:t xml:space="preserve"> S6</w:t>
      </w:r>
      <w:r w:rsidR="00144197" w:rsidRPr="005208C9">
        <w:rPr>
          <w:rFonts w:ascii="Arial" w:hAnsi="Arial" w:cs="Arial"/>
          <w:sz w:val="20"/>
          <w:szCs w:val="20"/>
        </w:rPr>
        <w:t xml:space="preserve">; ERK1/2 </w:t>
      </w:r>
      <w:r w:rsidR="00C62D59">
        <w:rPr>
          <w:rFonts w:ascii="Arial" w:hAnsi="Arial" w:cs="Arial"/>
          <w:sz w:val="20"/>
          <w:szCs w:val="20"/>
        </w:rPr>
        <w:t>–</w:t>
      </w:r>
      <w:r w:rsidR="00F60CC5">
        <w:rPr>
          <w:rFonts w:ascii="Arial" w:hAnsi="Arial" w:cs="Arial"/>
          <w:sz w:val="20"/>
          <w:szCs w:val="20"/>
        </w:rPr>
        <w:t xml:space="preserve"> </w:t>
      </w:r>
      <w:r w:rsidR="00C62D59">
        <w:rPr>
          <w:rFonts w:ascii="Arial" w:hAnsi="Arial" w:cs="Arial"/>
          <w:sz w:val="20"/>
          <w:szCs w:val="20"/>
        </w:rPr>
        <w:t>kinaza regulirana izvanstaničnim signalom 1/2</w:t>
      </w:r>
      <w:r w:rsidR="00144197" w:rsidRPr="005208C9">
        <w:rPr>
          <w:rFonts w:ascii="Arial" w:hAnsi="Arial" w:cs="Arial"/>
          <w:sz w:val="20"/>
          <w:szCs w:val="20"/>
        </w:rPr>
        <w:t xml:space="preserve"> ;pERK1/2 - </w:t>
      </w:r>
      <w:r w:rsidR="00C62D59" w:rsidRPr="005208C9">
        <w:rPr>
          <w:rFonts w:ascii="Arial" w:hAnsi="Arial" w:cs="Arial"/>
          <w:color w:val="000000" w:themeColor="text1"/>
          <w:sz w:val="20"/>
          <w:szCs w:val="20"/>
        </w:rPr>
        <w:t>fosforilirana inačica</w:t>
      </w:r>
      <w:r w:rsidR="00C62D59" w:rsidRPr="00C62D59">
        <w:rPr>
          <w:rFonts w:ascii="Arial" w:hAnsi="Arial" w:cs="Arial"/>
          <w:sz w:val="20"/>
          <w:szCs w:val="20"/>
        </w:rPr>
        <w:t xml:space="preserve"> </w:t>
      </w:r>
      <w:r w:rsidR="00C62D59">
        <w:rPr>
          <w:rFonts w:ascii="Arial" w:hAnsi="Arial" w:cs="Arial"/>
          <w:sz w:val="20"/>
          <w:szCs w:val="20"/>
        </w:rPr>
        <w:t>kinaze regulirane izvanstaničnim signalom 1/2</w:t>
      </w:r>
      <w:r w:rsidR="00144197" w:rsidRPr="005208C9">
        <w:rPr>
          <w:rFonts w:ascii="Arial" w:hAnsi="Arial" w:cs="Arial"/>
          <w:sz w:val="20"/>
          <w:szCs w:val="20"/>
        </w:rPr>
        <w:t>;</w:t>
      </w:r>
      <w:r w:rsidR="00C62D59">
        <w:rPr>
          <w:rFonts w:ascii="Arial" w:hAnsi="Arial" w:cs="Arial"/>
          <w:sz w:val="20"/>
          <w:szCs w:val="20"/>
        </w:rPr>
        <w:t xml:space="preserve"> </w:t>
      </w:r>
      <w:r w:rsidR="00144197" w:rsidRPr="005208C9">
        <w:rPr>
          <w:rFonts w:ascii="Arial" w:hAnsi="Arial" w:cs="Arial"/>
          <w:sz w:val="20"/>
          <w:szCs w:val="20"/>
        </w:rPr>
        <w:t xml:space="preserve">ULK1 </w:t>
      </w:r>
      <w:r w:rsidR="00C62D59">
        <w:rPr>
          <w:rFonts w:ascii="Arial" w:hAnsi="Arial" w:cs="Arial"/>
          <w:sz w:val="20"/>
          <w:szCs w:val="20"/>
        </w:rPr>
        <w:t>–</w:t>
      </w:r>
      <w:r w:rsidR="00144197" w:rsidRPr="005208C9">
        <w:rPr>
          <w:rFonts w:ascii="Arial" w:hAnsi="Arial" w:cs="Arial"/>
          <w:sz w:val="20"/>
          <w:szCs w:val="20"/>
        </w:rPr>
        <w:t xml:space="preserve"> </w:t>
      </w:r>
      <w:r w:rsidR="00C62D59">
        <w:rPr>
          <w:rFonts w:ascii="Arial" w:hAnsi="Arial" w:cs="Arial"/>
          <w:sz w:val="20"/>
          <w:szCs w:val="20"/>
        </w:rPr>
        <w:t xml:space="preserve">Kinaza koja aktivira autofagiju slična Unc-51 </w:t>
      </w:r>
      <w:r w:rsidR="00144197" w:rsidRPr="005208C9">
        <w:rPr>
          <w:rFonts w:ascii="Arial" w:hAnsi="Arial" w:cs="Arial"/>
          <w:sz w:val="20"/>
          <w:szCs w:val="20"/>
        </w:rPr>
        <w:t>; pULK1</w:t>
      </w:r>
      <w:r w:rsidR="00C62D59">
        <w:rPr>
          <w:rFonts w:ascii="Arial" w:hAnsi="Arial" w:cs="Arial"/>
          <w:sz w:val="20"/>
          <w:szCs w:val="20"/>
        </w:rPr>
        <w:t xml:space="preserve"> - </w:t>
      </w:r>
      <w:r w:rsidR="00C62D59" w:rsidRPr="005208C9">
        <w:rPr>
          <w:rFonts w:ascii="Arial" w:hAnsi="Arial" w:cs="Arial"/>
          <w:color w:val="000000" w:themeColor="text1"/>
          <w:sz w:val="20"/>
          <w:szCs w:val="20"/>
        </w:rPr>
        <w:t>fosforilirana inačica</w:t>
      </w:r>
      <w:r w:rsidR="00C62D59" w:rsidRPr="00C62D59">
        <w:rPr>
          <w:rFonts w:ascii="Arial" w:hAnsi="Arial" w:cs="Arial"/>
          <w:sz w:val="20"/>
          <w:szCs w:val="20"/>
        </w:rPr>
        <w:t xml:space="preserve"> </w:t>
      </w:r>
      <w:r w:rsidR="00C62D59">
        <w:rPr>
          <w:rFonts w:ascii="Arial" w:hAnsi="Arial" w:cs="Arial"/>
          <w:sz w:val="20"/>
          <w:szCs w:val="20"/>
        </w:rPr>
        <w:t>kinaze koja aktivira autofagiju slične Unc-5.</w:t>
      </w:r>
    </w:p>
    <w:p w14:paraId="6A92EACB" w14:textId="77777777" w:rsidR="00746920" w:rsidRPr="00746920" w:rsidRDefault="009A70BC" w:rsidP="005208C9">
      <w:pPr>
        <w:pStyle w:val="ListParagraph"/>
        <w:numPr>
          <w:ilvl w:val="1"/>
          <w:numId w:val="8"/>
        </w:numPr>
        <w:spacing w:line="360" w:lineRule="auto"/>
        <w:jc w:val="both"/>
        <w:rPr>
          <w:rFonts w:ascii="Arial" w:hAnsi="Arial" w:cs="Arial"/>
          <w:b/>
        </w:rPr>
      </w:pPr>
      <w:r w:rsidRPr="00746920">
        <w:rPr>
          <w:rFonts w:ascii="Arial" w:hAnsi="Arial" w:cs="Arial"/>
          <w:b/>
        </w:rPr>
        <w:t xml:space="preserve">Analiza učinka akutne peroralne i intraperitonealne D-galaktoze na transportere za glukozu u DMNX kontrolnih i STZ-icv tretiranih životinja </w:t>
      </w:r>
    </w:p>
    <w:p w14:paraId="48D45104" w14:textId="77777777" w:rsidR="00511498" w:rsidRDefault="00EA7F7A" w:rsidP="00746920">
      <w:pPr>
        <w:spacing w:line="360" w:lineRule="auto"/>
        <w:jc w:val="both"/>
        <w:rPr>
          <w:rFonts w:ascii="Arial" w:hAnsi="Arial" w:cs="Arial"/>
          <w:sz w:val="20"/>
          <w:szCs w:val="20"/>
        </w:rPr>
      </w:pPr>
      <w:r w:rsidRPr="00746920">
        <w:rPr>
          <w:rFonts w:ascii="Arial" w:hAnsi="Arial" w:cs="Arial"/>
          <w:sz w:val="20"/>
          <w:szCs w:val="20"/>
        </w:rPr>
        <w:br/>
        <w:t xml:space="preserve">Zbog očitih razlika u metaboličkom odgovoru na D-galaktozu kontrolnih i STZ-icv životinja zanimalo nas je odražavaju li se metaboličke razlike i na regulaciju transporta glukoze koji se smatra ključnim u </w:t>
      </w:r>
      <w:r w:rsidRPr="00DF1F73">
        <w:rPr>
          <w:rFonts w:ascii="Arial" w:hAnsi="Arial" w:cs="Arial"/>
          <w:sz w:val="20"/>
          <w:szCs w:val="20"/>
        </w:rPr>
        <w:t xml:space="preserve">hipometabolizmu povezanom s Alzheimerovom bolesti </w:t>
      </w:r>
      <w:r w:rsidRPr="00DF1F73">
        <w:rPr>
          <w:rFonts w:ascii="Arial" w:hAnsi="Arial" w:cs="Arial"/>
          <w:sz w:val="20"/>
          <w:szCs w:val="20"/>
        </w:rPr>
        <w:fldChar w:fldCharType="begin" w:fldLock="1"/>
      </w:r>
      <w:r w:rsidRPr="00DF1F73">
        <w:rPr>
          <w:rFonts w:ascii="Arial" w:hAnsi="Arial" w:cs="Arial"/>
          <w:sz w:val="20"/>
          <w:szCs w:val="20"/>
        </w:rPr>
        <w:instrText>ADDIN CSL_CITATION { "citationItems" : [ { "id" : "ITEM-1", "itemData" : { "DOI" : "10.3233/JAD-160841", "ISSN" : "13872877", "PMID" : "27858715", "abstract" : "Neurons need a continuous supply of glucose, the major source of energy for mammalian brain metabolism. The central nervous system is protected by three main physiological cell barriers. Cell membranes are impermeable for glucose, therefore glucose is transferred across the cell membranes by specific transport proteins: sodium-independent glucose transporters (GLUTs), encoded by SLC2 genes, and sodium-dependent glucose transporters (for example SGLTs), encoded by SLC5 genes. Human brain expresses 10 GLUT proteins and 10 proteins encoded by SLC5 genes. In patients with brain diseases, particularly Alzheimer's (AD) and Huntington's diseases, abnormalities in neuronal glucose metabolism have been showed. The levels of GLUT1 and GLUT3, the major brain glucose transporters, are decreased, especially in the cerebral cortex. Therefore, in AD, hypometabolism of glucose and deficits in energy are observed. Production of ATP from glucose metabolism in sporadic AD declines to 50% and the tendency to decline continues throughout the progression of the disease. This decrease is correlated with O-GlcAcetylation and tau hyperphosphorylation, as the compensatory mechanisms in AD are the utilization of endogenous brain substances and drastic increase in GLUT2 levels. The present review focuses on the changes in the expression of glucose transporters due to AD.", "author" : [ { "dropping-particle" : "", "family" : "Szablewski", "given" : "Leszek", "non-dropping-particle" : "", "parse-names" : false, "suffix" : "" } ], "container-title" : "Journal of Alzheimer's Disease", "id" : "ITEM-1", "issue" : "4", "issued" : { "date-parts" : [ [ "2016", "12", "20" ] ] }, "page" : "1307-1320", "title" : "Glucose Transporters in Brain: In Health and in Alzheimer\u2019s Disease", "type" : "article-journal", "volume" : "55" }, "uris" : [ "http://www.mendeley.com/documents/?uuid=d922e0f9-f028-3aca-87cf-61311c38c646" ] } ], "mendeley" : { "formattedCitation" : "(Szablewski, 2016)", "plainTextFormattedCitation" : "(Szablewski, 2016)", "previouslyFormattedCitation" : "(Szablewski, 2016)" }, "properties" : {  }, "schema" : "https://github.com/citation-style-language/schema/raw/master/csl-citation.json" }</w:instrText>
      </w:r>
      <w:r w:rsidRPr="00DF1F73">
        <w:rPr>
          <w:rFonts w:ascii="Arial" w:hAnsi="Arial" w:cs="Arial"/>
          <w:sz w:val="20"/>
          <w:szCs w:val="20"/>
        </w:rPr>
        <w:fldChar w:fldCharType="separate"/>
      </w:r>
      <w:r w:rsidRPr="00DF1F73">
        <w:rPr>
          <w:rFonts w:ascii="Arial" w:hAnsi="Arial" w:cs="Arial"/>
          <w:noProof/>
          <w:sz w:val="20"/>
          <w:szCs w:val="20"/>
        </w:rPr>
        <w:t>(Szablewski, 2016)</w:t>
      </w:r>
      <w:r w:rsidRPr="00DF1F73">
        <w:rPr>
          <w:rFonts w:ascii="Arial" w:hAnsi="Arial" w:cs="Arial"/>
          <w:sz w:val="20"/>
          <w:szCs w:val="20"/>
        </w:rPr>
        <w:fldChar w:fldCharType="end"/>
      </w:r>
      <w:r w:rsidRPr="00DF1F73">
        <w:rPr>
          <w:rFonts w:ascii="Arial" w:hAnsi="Arial" w:cs="Arial"/>
          <w:sz w:val="20"/>
          <w:szCs w:val="20"/>
        </w:rPr>
        <w:t>. Rezultati pokazuju da</w:t>
      </w:r>
      <w:r w:rsidRPr="00746920">
        <w:rPr>
          <w:rFonts w:ascii="Arial" w:hAnsi="Arial" w:cs="Arial"/>
          <w:sz w:val="20"/>
          <w:szCs w:val="20"/>
        </w:rPr>
        <w:t xml:space="preserve"> </w:t>
      </w:r>
      <w:r w:rsidR="00B7079F" w:rsidRPr="00746920">
        <w:rPr>
          <w:rFonts w:ascii="Arial" w:hAnsi="Arial" w:cs="Arial"/>
          <w:sz w:val="20"/>
          <w:szCs w:val="20"/>
        </w:rPr>
        <w:t>peroralna i intraperitonealna administracija D-galaktoze smanjuju količinu GLUT3 u DMNX kontrolnih životinja (</w:t>
      </w:r>
      <w:r w:rsidR="00746920">
        <w:rPr>
          <w:rFonts w:ascii="Arial" w:hAnsi="Arial" w:cs="Arial"/>
          <w:sz w:val="20"/>
          <w:szCs w:val="20"/>
        </w:rPr>
        <w:t>S</w:t>
      </w:r>
      <w:r w:rsidR="00B7079F" w:rsidRPr="00746920">
        <w:rPr>
          <w:rFonts w:ascii="Arial" w:hAnsi="Arial" w:cs="Arial"/>
          <w:sz w:val="20"/>
          <w:szCs w:val="20"/>
        </w:rPr>
        <w:t>lika 1</w:t>
      </w:r>
      <w:r w:rsidR="00746920">
        <w:rPr>
          <w:rFonts w:ascii="Arial" w:hAnsi="Arial" w:cs="Arial"/>
          <w:sz w:val="20"/>
          <w:szCs w:val="20"/>
        </w:rPr>
        <w:t>4</w:t>
      </w:r>
      <w:r w:rsidR="00B7079F" w:rsidRPr="00746920">
        <w:rPr>
          <w:rFonts w:ascii="Arial" w:hAnsi="Arial" w:cs="Arial"/>
          <w:sz w:val="20"/>
          <w:szCs w:val="20"/>
        </w:rPr>
        <w:t>. B i C). Međutim, u STZ-icv tretiranih životinja peroralna administracija ne dovodi do značajnih promjena, ali intraperitonealna dovodi dramatičnog povećanja GLUT3 u DMNX (</w:t>
      </w:r>
      <w:r w:rsidR="00746920">
        <w:rPr>
          <w:rFonts w:ascii="Arial" w:hAnsi="Arial" w:cs="Arial"/>
          <w:sz w:val="20"/>
          <w:szCs w:val="20"/>
        </w:rPr>
        <w:t>S</w:t>
      </w:r>
      <w:r w:rsidR="00B7079F" w:rsidRPr="00746920">
        <w:rPr>
          <w:rFonts w:ascii="Arial" w:hAnsi="Arial" w:cs="Arial"/>
          <w:sz w:val="20"/>
          <w:szCs w:val="20"/>
        </w:rPr>
        <w:t>lika 1</w:t>
      </w:r>
      <w:r w:rsidR="00746920">
        <w:rPr>
          <w:rFonts w:ascii="Arial" w:hAnsi="Arial" w:cs="Arial"/>
          <w:sz w:val="20"/>
          <w:szCs w:val="20"/>
        </w:rPr>
        <w:t>4</w:t>
      </w:r>
      <w:r w:rsidR="00B7079F" w:rsidRPr="00746920">
        <w:rPr>
          <w:rFonts w:ascii="Arial" w:hAnsi="Arial" w:cs="Arial"/>
          <w:sz w:val="20"/>
          <w:szCs w:val="20"/>
        </w:rPr>
        <w:t>. E i F). Imunofluorescentna analiza GLUT4 pokazuje da iako u kontrolnih životinja nema očitih razlika u GLUT4 nakon peroralne i intraperitonealne aministracije (</w:t>
      </w:r>
      <w:r w:rsidR="00746920">
        <w:rPr>
          <w:rFonts w:ascii="Arial" w:hAnsi="Arial" w:cs="Arial"/>
          <w:sz w:val="20"/>
          <w:szCs w:val="20"/>
        </w:rPr>
        <w:t>S</w:t>
      </w:r>
      <w:r w:rsidR="00B7079F" w:rsidRPr="00746920">
        <w:rPr>
          <w:rFonts w:ascii="Arial" w:hAnsi="Arial" w:cs="Arial"/>
          <w:sz w:val="20"/>
          <w:szCs w:val="20"/>
        </w:rPr>
        <w:t>lika 1</w:t>
      </w:r>
      <w:r w:rsidR="00746920">
        <w:rPr>
          <w:rFonts w:ascii="Arial" w:hAnsi="Arial" w:cs="Arial"/>
          <w:sz w:val="20"/>
          <w:szCs w:val="20"/>
        </w:rPr>
        <w:t>4</w:t>
      </w:r>
      <w:r w:rsidR="00B7079F" w:rsidRPr="00746920">
        <w:rPr>
          <w:rFonts w:ascii="Arial" w:hAnsi="Arial" w:cs="Arial"/>
          <w:sz w:val="20"/>
          <w:szCs w:val="20"/>
        </w:rPr>
        <w:t>. H i I), peroralna administracija dovodi do smanjenja GLUT4 u STZ-ic</w:t>
      </w:r>
      <w:r w:rsidR="00746920">
        <w:rPr>
          <w:rFonts w:ascii="Arial" w:hAnsi="Arial" w:cs="Arial"/>
          <w:sz w:val="20"/>
          <w:szCs w:val="20"/>
        </w:rPr>
        <w:t>v tretiranih životinja (Slika 14</w:t>
      </w:r>
      <w:r w:rsidR="00B7079F" w:rsidRPr="00746920">
        <w:rPr>
          <w:rFonts w:ascii="Arial" w:hAnsi="Arial" w:cs="Arial"/>
          <w:sz w:val="20"/>
          <w:szCs w:val="20"/>
        </w:rPr>
        <w:t>. K).</w:t>
      </w:r>
    </w:p>
    <w:p w14:paraId="4B5C3AD1" w14:textId="4D90D8A7" w:rsidR="009A70BC" w:rsidRPr="00746920" w:rsidRDefault="00B7079F" w:rsidP="00746920">
      <w:pPr>
        <w:spacing w:line="360" w:lineRule="auto"/>
        <w:jc w:val="both"/>
        <w:rPr>
          <w:rFonts w:ascii="Arial" w:hAnsi="Arial" w:cs="Arial"/>
          <w:sz w:val="20"/>
          <w:szCs w:val="20"/>
        </w:rPr>
      </w:pPr>
      <w:r w:rsidRPr="00746920">
        <w:rPr>
          <w:rFonts w:ascii="Arial" w:hAnsi="Arial" w:cs="Arial"/>
          <w:sz w:val="20"/>
          <w:szCs w:val="20"/>
        </w:rPr>
        <w:t xml:space="preserve"> </w:t>
      </w:r>
      <w:r w:rsidR="009A70BC" w:rsidRPr="00746920">
        <w:rPr>
          <w:rFonts w:ascii="Arial" w:hAnsi="Arial" w:cs="Arial"/>
          <w:sz w:val="20"/>
          <w:szCs w:val="20"/>
        </w:rPr>
        <w:br/>
      </w:r>
    </w:p>
    <w:p w14:paraId="5DBA1D16" w14:textId="77777777" w:rsidR="008C799C" w:rsidRDefault="008A06A1">
      <w:r>
        <w:rPr>
          <w:noProof/>
          <w:lang w:val="en-GB" w:eastAsia="en-GB"/>
        </w:rPr>
        <w:lastRenderedPageBreak/>
        <w:drawing>
          <wp:inline distT="0" distB="0" distL="0" distR="0" wp14:anchorId="68D1EE31" wp14:editId="58ABB19B">
            <wp:extent cx="5753100" cy="73075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7307580"/>
                    </a:xfrm>
                    <a:prstGeom prst="rect">
                      <a:avLst/>
                    </a:prstGeom>
                    <a:noFill/>
                    <a:ln>
                      <a:noFill/>
                    </a:ln>
                  </pic:spPr>
                </pic:pic>
              </a:graphicData>
            </a:graphic>
          </wp:inline>
        </w:drawing>
      </w:r>
    </w:p>
    <w:p w14:paraId="12071ADC" w14:textId="77777777" w:rsidR="00746920" w:rsidRDefault="00994EE1" w:rsidP="00746920">
      <w:pPr>
        <w:spacing w:line="240" w:lineRule="auto"/>
        <w:jc w:val="both"/>
        <w:rPr>
          <w:rFonts w:ascii="Arial" w:hAnsi="Arial" w:cs="Arial"/>
          <w:sz w:val="20"/>
          <w:szCs w:val="20"/>
        </w:rPr>
      </w:pPr>
      <w:r>
        <w:rPr>
          <w:rFonts w:ascii="Arial" w:hAnsi="Arial" w:cs="Arial"/>
          <w:sz w:val="20"/>
          <w:szCs w:val="20"/>
        </w:rPr>
        <w:t>Slika 14</w:t>
      </w:r>
      <w:r w:rsidR="00B7079F" w:rsidRPr="005208C9">
        <w:rPr>
          <w:rFonts w:ascii="Arial" w:hAnsi="Arial" w:cs="Arial"/>
          <w:sz w:val="20"/>
          <w:szCs w:val="20"/>
        </w:rPr>
        <w:t>. Prikaz reprezentativnog prereza moždanog debla štakora kontrolne životinje (A i G), kontrolne životinje nakon akutne peroralne administracije (B i H) ili akutne intraperitonealne administracije (C i I) D-galaktoze, STZ-icv životinje (D i J), STZ-icv životinje nakon akutne peroralne administracije (E i K) ili akutne intraperitonealne administracije (F i L) D-galaktoze</w:t>
      </w:r>
      <w:r>
        <w:rPr>
          <w:rFonts w:ascii="Arial" w:hAnsi="Arial" w:cs="Arial"/>
          <w:sz w:val="20"/>
          <w:szCs w:val="20"/>
        </w:rPr>
        <w:t>.</w:t>
      </w:r>
      <w:r w:rsidR="00B7079F" w:rsidRPr="005208C9">
        <w:rPr>
          <w:rFonts w:ascii="Arial" w:hAnsi="Arial" w:cs="Arial"/>
          <w:sz w:val="20"/>
          <w:szCs w:val="20"/>
        </w:rPr>
        <w:t xml:space="preserve"> </w:t>
      </w:r>
      <w:r w:rsidR="00171F8E">
        <w:rPr>
          <w:rFonts w:ascii="Arial" w:hAnsi="Arial" w:cs="Arial"/>
          <w:sz w:val="20"/>
          <w:szCs w:val="20"/>
        </w:rPr>
        <w:t xml:space="preserve">Ekspresija GLUT3 </w:t>
      </w:r>
      <w:r w:rsidR="00B7079F" w:rsidRPr="005208C9">
        <w:rPr>
          <w:rFonts w:ascii="Arial" w:hAnsi="Arial" w:cs="Arial"/>
          <w:sz w:val="20"/>
          <w:szCs w:val="20"/>
        </w:rPr>
        <w:t xml:space="preserve">vidljiva je kao zeleno obojenje (označeno strelicama) (A - F). Povećanje </w:t>
      </w:r>
      <w:r w:rsidR="00746920">
        <w:rPr>
          <w:rFonts w:ascii="Arial" w:hAnsi="Arial" w:cs="Arial"/>
          <w:sz w:val="20"/>
          <w:szCs w:val="20"/>
        </w:rPr>
        <w:t>20X</w:t>
      </w:r>
      <w:r w:rsidR="00B7079F" w:rsidRPr="005208C9">
        <w:rPr>
          <w:rFonts w:ascii="Arial" w:hAnsi="Arial" w:cs="Arial"/>
          <w:sz w:val="20"/>
          <w:szCs w:val="20"/>
        </w:rPr>
        <w:t xml:space="preserve"> (A – F</w:t>
      </w:r>
      <w:r w:rsidR="00171F8E">
        <w:rPr>
          <w:rFonts w:ascii="Arial" w:hAnsi="Arial" w:cs="Arial"/>
          <w:sz w:val="20"/>
          <w:szCs w:val="20"/>
        </w:rPr>
        <w:t xml:space="preserve">). Ekspresija </w:t>
      </w:r>
      <w:r w:rsidR="00914B38" w:rsidRPr="005208C9">
        <w:rPr>
          <w:rFonts w:ascii="Arial" w:hAnsi="Arial" w:cs="Arial"/>
          <w:sz w:val="20"/>
          <w:szCs w:val="20"/>
        </w:rPr>
        <w:t>GLUT4</w:t>
      </w:r>
      <w:r w:rsidR="00171F8E">
        <w:rPr>
          <w:rFonts w:ascii="Arial" w:hAnsi="Arial" w:cs="Arial"/>
          <w:sz w:val="20"/>
          <w:szCs w:val="20"/>
        </w:rPr>
        <w:t xml:space="preserve"> </w:t>
      </w:r>
      <w:r w:rsidR="00B7079F" w:rsidRPr="005208C9">
        <w:rPr>
          <w:rFonts w:ascii="Arial" w:hAnsi="Arial" w:cs="Arial"/>
          <w:sz w:val="20"/>
          <w:szCs w:val="20"/>
        </w:rPr>
        <w:t xml:space="preserve">vidljiva je kao </w:t>
      </w:r>
      <w:r w:rsidR="00914B38" w:rsidRPr="005208C9">
        <w:rPr>
          <w:rFonts w:ascii="Arial" w:hAnsi="Arial" w:cs="Arial"/>
          <w:sz w:val="20"/>
          <w:szCs w:val="20"/>
        </w:rPr>
        <w:t>crveno</w:t>
      </w:r>
      <w:r w:rsidR="00B7079F" w:rsidRPr="005208C9">
        <w:rPr>
          <w:rFonts w:ascii="Arial" w:hAnsi="Arial" w:cs="Arial"/>
          <w:sz w:val="20"/>
          <w:szCs w:val="20"/>
        </w:rPr>
        <w:t xml:space="preserve"> obo</w:t>
      </w:r>
      <w:r w:rsidR="00914B38" w:rsidRPr="005208C9">
        <w:rPr>
          <w:rFonts w:ascii="Arial" w:hAnsi="Arial" w:cs="Arial"/>
          <w:sz w:val="20"/>
          <w:szCs w:val="20"/>
        </w:rPr>
        <w:t>jenje (označeno strelicama) (G –</w:t>
      </w:r>
      <w:r w:rsidR="00B7079F" w:rsidRPr="005208C9">
        <w:rPr>
          <w:rFonts w:ascii="Arial" w:hAnsi="Arial" w:cs="Arial"/>
          <w:sz w:val="20"/>
          <w:szCs w:val="20"/>
        </w:rPr>
        <w:t xml:space="preserve"> </w:t>
      </w:r>
      <w:r w:rsidR="00914B38" w:rsidRPr="005208C9">
        <w:rPr>
          <w:rFonts w:ascii="Arial" w:hAnsi="Arial" w:cs="Arial"/>
          <w:sz w:val="20"/>
          <w:szCs w:val="20"/>
        </w:rPr>
        <w:t>L)</w:t>
      </w:r>
      <w:r w:rsidR="00B7079F" w:rsidRPr="005208C9">
        <w:rPr>
          <w:rFonts w:ascii="Arial" w:hAnsi="Arial" w:cs="Arial"/>
          <w:sz w:val="20"/>
          <w:szCs w:val="20"/>
        </w:rPr>
        <w:t xml:space="preserve">. Povećanje </w:t>
      </w:r>
      <w:r w:rsidR="00746920">
        <w:rPr>
          <w:rFonts w:ascii="Arial" w:hAnsi="Arial" w:cs="Arial"/>
          <w:sz w:val="20"/>
          <w:szCs w:val="20"/>
        </w:rPr>
        <w:t>30X</w:t>
      </w:r>
      <w:r w:rsidR="00B7079F" w:rsidRPr="005208C9">
        <w:rPr>
          <w:rFonts w:ascii="Arial" w:hAnsi="Arial" w:cs="Arial"/>
          <w:sz w:val="20"/>
          <w:szCs w:val="20"/>
        </w:rPr>
        <w:t xml:space="preserve"> (A – F).</w:t>
      </w:r>
      <w:r w:rsidR="00914B38" w:rsidRPr="005208C9">
        <w:rPr>
          <w:rFonts w:ascii="Arial" w:hAnsi="Arial" w:cs="Arial"/>
          <w:sz w:val="20"/>
          <w:szCs w:val="20"/>
        </w:rPr>
        <w:t xml:space="preserve"> </w:t>
      </w:r>
      <w:r w:rsidR="00B7079F" w:rsidRPr="005208C9">
        <w:rPr>
          <w:rFonts w:ascii="Arial" w:hAnsi="Arial" w:cs="Arial"/>
          <w:sz w:val="20"/>
          <w:szCs w:val="20"/>
        </w:rPr>
        <w:t>XII – jezgra hypoglossusa; DMNX – dorzalna motorna jezgra vagusa; NTS – jezgra solitarnog trakta.</w:t>
      </w:r>
    </w:p>
    <w:p w14:paraId="5E0C7606" w14:textId="77777777" w:rsidR="00746920" w:rsidRPr="00746920" w:rsidRDefault="00782477" w:rsidP="00D87EDE">
      <w:pPr>
        <w:pStyle w:val="ListParagraph"/>
        <w:numPr>
          <w:ilvl w:val="1"/>
          <w:numId w:val="8"/>
        </w:numPr>
        <w:spacing w:line="360" w:lineRule="auto"/>
        <w:rPr>
          <w:rFonts w:ascii="Arial" w:hAnsi="Arial" w:cs="Arial"/>
          <w:b/>
        </w:rPr>
      </w:pPr>
      <w:r w:rsidRPr="00746920">
        <w:rPr>
          <w:rFonts w:ascii="Arial" w:hAnsi="Arial" w:cs="Arial"/>
          <w:b/>
        </w:rPr>
        <w:lastRenderedPageBreak/>
        <w:t xml:space="preserve">Analiza parametara oksidativnog stresa u modelu akutne primjene peroralne i intraperitonealne galaktoze </w:t>
      </w:r>
    </w:p>
    <w:p w14:paraId="2FD62482" w14:textId="77777777" w:rsidR="00746920" w:rsidRDefault="00782477" w:rsidP="00746920">
      <w:pPr>
        <w:spacing w:line="360" w:lineRule="auto"/>
        <w:jc w:val="both"/>
        <w:rPr>
          <w:rFonts w:ascii="Arial" w:hAnsi="Arial" w:cs="Arial"/>
          <w:sz w:val="20"/>
          <w:szCs w:val="20"/>
        </w:rPr>
      </w:pPr>
      <w:r w:rsidRPr="00746920">
        <w:rPr>
          <w:rFonts w:ascii="Arial" w:hAnsi="Arial" w:cs="Arial"/>
          <w:sz w:val="20"/>
          <w:szCs w:val="20"/>
        </w:rPr>
        <w:br/>
      </w:r>
      <w:r w:rsidR="00914B38" w:rsidRPr="00746920">
        <w:rPr>
          <w:rFonts w:ascii="Arial" w:hAnsi="Arial" w:cs="Arial"/>
          <w:sz w:val="20"/>
          <w:szCs w:val="20"/>
        </w:rPr>
        <w:t>Zbog uske povezanosti regulacije metabolizma i oksidativnog stresa, u kontekstu novih rezultata htjeli smo istražiti postoji li razlika u oksidativnom stresu nakon primjene peroralne i intraperitonelne D-galaktoze i pos</w:t>
      </w:r>
      <w:r w:rsidR="002755E4" w:rsidRPr="00746920">
        <w:rPr>
          <w:rFonts w:ascii="Arial" w:hAnsi="Arial" w:cs="Arial"/>
          <w:sz w:val="20"/>
          <w:szCs w:val="20"/>
        </w:rPr>
        <w:t>toji li razlika u odgovoru izmeđ</w:t>
      </w:r>
      <w:r w:rsidR="00914B38" w:rsidRPr="00746920">
        <w:rPr>
          <w:rFonts w:ascii="Arial" w:hAnsi="Arial" w:cs="Arial"/>
          <w:sz w:val="20"/>
          <w:szCs w:val="20"/>
        </w:rPr>
        <w:t xml:space="preserve">u kontrolnih životinja i životinja tretiranih STZ-icv. </w:t>
      </w:r>
      <w:r w:rsidR="00EE749E" w:rsidRPr="00746920">
        <w:rPr>
          <w:rFonts w:ascii="Arial" w:hAnsi="Arial" w:cs="Arial"/>
          <w:sz w:val="20"/>
          <w:szCs w:val="20"/>
        </w:rPr>
        <w:t>Kod kontrolnih životinja aktivnost katalaze povećana je nakon peroralne i intraperit</w:t>
      </w:r>
      <w:r w:rsidR="00746920">
        <w:rPr>
          <w:rFonts w:ascii="Arial" w:hAnsi="Arial" w:cs="Arial"/>
          <w:sz w:val="20"/>
          <w:szCs w:val="20"/>
        </w:rPr>
        <w:t>onealne primjene  D-galaktoze (S</w:t>
      </w:r>
      <w:r w:rsidR="00EE749E" w:rsidRPr="00746920">
        <w:rPr>
          <w:rFonts w:ascii="Arial" w:hAnsi="Arial" w:cs="Arial"/>
          <w:sz w:val="20"/>
          <w:szCs w:val="20"/>
        </w:rPr>
        <w:t>lika 1</w:t>
      </w:r>
      <w:r w:rsidR="00746920">
        <w:rPr>
          <w:rFonts w:ascii="Arial" w:hAnsi="Arial" w:cs="Arial"/>
          <w:sz w:val="20"/>
          <w:szCs w:val="20"/>
        </w:rPr>
        <w:t>5</w:t>
      </w:r>
      <w:r w:rsidR="00EE749E" w:rsidRPr="00746920">
        <w:rPr>
          <w:rFonts w:ascii="Arial" w:hAnsi="Arial" w:cs="Arial"/>
          <w:sz w:val="20"/>
          <w:szCs w:val="20"/>
        </w:rPr>
        <w:t>.A)</w:t>
      </w:r>
      <w:r w:rsidR="004121B9" w:rsidRPr="00746920">
        <w:rPr>
          <w:rFonts w:ascii="Arial" w:hAnsi="Arial" w:cs="Arial"/>
          <w:sz w:val="20"/>
          <w:szCs w:val="20"/>
        </w:rPr>
        <w:t xml:space="preserve">. </w:t>
      </w:r>
      <w:r w:rsidR="00260019" w:rsidRPr="00746920">
        <w:rPr>
          <w:rFonts w:ascii="Arial" w:hAnsi="Arial" w:cs="Arial"/>
          <w:sz w:val="20"/>
          <w:szCs w:val="20"/>
        </w:rPr>
        <w:t>Zanimljivo, kod STZ-icv životinja primjena galaktoze smanjuje aktivnost katalaze, pri čemu intraperitonealna primjena</w:t>
      </w:r>
      <w:r w:rsidR="00746920">
        <w:rPr>
          <w:rFonts w:ascii="Arial" w:hAnsi="Arial" w:cs="Arial"/>
          <w:sz w:val="20"/>
          <w:szCs w:val="20"/>
        </w:rPr>
        <w:t xml:space="preserve"> ima veći učinak od peroralne (S</w:t>
      </w:r>
      <w:r w:rsidR="00260019" w:rsidRPr="00746920">
        <w:rPr>
          <w:rFonts w:ascii="Arial" w:hAnsi="Arial" w:cs="Arial"/>
          <w:sz w:val="20"/>
          <w:szCs w:val="20"/>
        </w:rPr>
        <w:t>lika 1</w:t>
      </w:r>
      <w:r w:rsidR="00746920">
        <w:rPr>
          <w:rFonts w:ascii="Arial" w:hAnsi="Arial" w:cs="Arial"/>
          <w:sz w:val="20"/>
          <w:szCs w:val="20"/>
        </w:rPr>
        <w:t>5</w:t>
      </w:r>
      <w:r w:rsidR="00260019" w:rsidRPr="00746920">
        <w:rPr>
          <w:rFonts w:ascii="Arial" w:hAnsi="Arial" w:cs="Arial"/>
          <w:sz w:val="20"/>
          <w:szCs w:val="20"/>
        </w:rPr>
        <w:t>.A). Rezultati analize količine reduciranog glutationa odgovaraju rezultatima dobivenim mjerenjem aktivnosti katalaze. Kod kontrolnih životinja primjena galaktoze smanjuje, a kod STZ-icv tretiranih povećava količinu reduciranog glutationa (</w:t>
      </w:r>
      <w:r w:rsidR="00746920">
        <w:rPr>
          <w:rFonts w:ascii="Arial" w:hAnsi="Arial" w:cs="Arial"/>
          <w:sz w:val="20"/>
          <w:szCs w:val="20"/>
        </w:rPr>
        <w:t>S</w:t>
      </w:r>
      <w:r w:rsidR="00260019" w:rsidRPr="00746920">
        <w:rPr>
          <w:rFonts w:ascii="Arial" w:hAnsi="Arial" w:cs="Arial"/>
          <w:sz w:val="20"/>
          <w:szCs w:val="20"/>
        </w:rPr>
        <w:t>lika</w:t>
      </w:r>
      <w:r w:rsidR="00746920">
        <w:rPr>
          <w:rFonts w:ascii="Arial" w:hAnsi="Arial" w:cs="Arial"/>
          <w:sz w:val="20"/>
          <w:szCs w:val="20"/>
        </w:rPr>
        <w:t xml:space="preserve"> </w:t>
      </w:r>
      <w:r w:rsidR="00260019" w:rsidRPr="00746920">
        <w:rPr>
          <w:rFonts w:ascii="Arial" w:hAnsi="Arial" w:cs="Arial"/>
          <w:sz w:val="20"/>
          <w:szCs w:val="20"/>
        </w:rPr>
        <w:t>1</w:t>
      </w:r>
      <w:r w:rsidR="00746920">
        <w:rPr>
          <w:rFonts w:ascii="Arial" w:hAnsi="Arial" w:cs="Arial"/>
          <w:sz w:val="20"/>
          <w:szCs w:val="20"/>
        </w:rPr>
        <w:t>5</w:t>
      </w:r>
      <w:r w:rsidR="00260019" w:rsidRPr="00746920">
        <w:rPr>
          <w:rFonts w:ascii="Arial" w:hAnsi="Arial" w:cs="Arial"/>
          <w:sz w:val="20"/>
          <w:szCs w:val="20"/>
        </w:rPr>
        <w:t>. B). Analiza lipidne peroksidacije govori u prilog povećanja peroksidacije kod primjene galaktoze i kod kontrolnih i kod STZ-icv životinja (</w:t>
      </w:r>
      <w:r w:rsidR="00746920">
        <w:rPr>
          <w:rFonts w:ascii="Arial" w:hAnsi="Arial" w:cs="Arial"/>
          <w:sz w:val="20"/>
          <w:szCs w:val="20"/>
        </w:rPr>
        <w:t>Slika 15</w:t>
      </w:r>
      <w:r w:rsidR="00260019" w:rsidRPr="00746920">
        <w:rPr>
          <w:rFonts w:ascii="Arial" w:hAnsi="Arial" w:cs="Arial"/>
          <w:sz w:val="20"/>
          <w:szCs w:val="20"/>
        </w:rPr>
        <w:t xml:space="preserve">.C). </w:t>
      </w:r>
    </w:p>
    <w:p w14:paraId="4335A0ED" w14:textId="440EBAC6" w:rsidR="00352CC9" w:rsidRPr="00746920" w:rsidRDefault="00352CC9" w:rsidP="00746920">
      <w:pPr>
        <w:spacing w:line="360" w:lineRule="auto"/>
        <w:jc w:val="both"/>
        <w:rPr>
          <w:rFonts w:ascii="Arial" w:hAnsi="Arial" w:cs="Arial"/>
          <w:sz w:val="20"/>
          <w:szCs w:val="20"/>
        </w:rPr>
      </w:pPr>
    </w:p>
    <w:p w14:paraId="6E13B376" w14:textId="2A1860A3" w:rsidR="00782477" w:rsidRDefault="00352CC9" w:rsidP="00746920">
      <w:pPr>
        <w:spacing w:line="240" w:lineRule="auto"/>
        <w:jc w:val="both"/>
        <w:rPr>
          <w:rFonts w:ascii="Arial" w:hAnsi="Arial" w:cs="Arial"/>
          <w:sz w:val="20"/>
          <w:szCs w:val="20"/>
        </w:rPr>
      </w:pPr>
      <w:r>
        <w:rPr>
          <w:noProof/>
          <w:lang w:val="en-GB" w:eastAsia="en-GB"/>
        </w:rPr>
        <w:drawing>
          <wp:inline distT="0" distB="0" distL="0" distR="0" wp14:anchorId="4DC95F0D" wp14:editId="41504419">
            <wp:extent cx="5753100" cy="1905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1905000"/>
                    </a:xfrm>
                    <a:prstGeom prst="rect">
                      <a:avLst/>
                    </a:prstGeom>
                    <a:noFill/>
                    <a:ln>
                      <a:noFill/>
                    </a:ln>
                  </pic:spPr>
                </pic:pic>
              </a:graphicData>
            </a:graphic>
          </wp:inline>
        </w:drawing>
      </w:r>
      <w:r w:rsidR="00782477">
        <w:br/>
      </w:r>
      <w:r w:rsidR="00171F8E">
        <w:rPr>
          <w:rFonts w:ascii="Arial" w:hAnsi="Arial" w:cs="Arial"/>
          <w:sz w:val="20"/>
          <w:szCs w:val="20"/>
        </w:rPr>
        <w:t>Slika 15</w:t>
      </w:r>
      <w:r w:rsidR="00EE749E" w:rsidRPr="0061539B">
        <w:rPr>
          <w:rFonts w:ascii="Arial" w:hAnsi="Arial" w:cs="Arial"/>
          <w:sz w:val="20"/>
          <w:szCs w:val="20"/>
        </w:rPr>
        <w:t>.</w:t>
      </w:r>
      <w:r w:rsidR="00260019">
        <w:rPr>
          <w:rFonts w:ascii="Arial" w:hAnsi="Arial" w:cs="Arial"/>
          <w:sz w:val="20"/>
          <w:szCs w:val="20"/>
        </w:rPr>
        <w:t xml:space="preserve"> </w:t>
      </w:r>
      <w:r w:rsidR="00260019" w:rsidRPr="00493FCD">
        <w:rPr>
          <w:rFonts w:ascii="Arial" w:hAnsi="Arial" w:cs="Arial"/>
          <w:sz w:val="20"/>
          <w:szCs w:val="20"/>
        </w:rPr>
        <w:t>Parametri oksidativnog stresa i antioksidativnog kapaciteta. Usporedba aktivnosti katalaze</w:t>
      </w:r>
      <w:r w:rsidR="00260019">
        <w:rPr>
          <w:rFonts w:ascii="Arial" w:hAnsi="Arial" w:cs="Arial"/>
          <w:sz w:val="20"/>
          <w:szCs w:val="20"/>
        </w:rPr>
        <w:t>, količine reduciranog glutationa i lipidne peroksidacije</w:t>
      </w:r>
      <w:r w:rsidR="00260019" w:rsidRPr="00493FCD">
        <w:rPr>
          <w:rFonts w:ascii="Arial" w:hAnsi="Arial" w:cs="Arial"/>
          <w:sz w:val="20"/>
          <w:szCs w:val="20"/>
        </w:rPr>
        <w:t xml:space="preserve"> u moždanom deblu </w:t>
      </w:r>
      <w:r w:rsidR="00260019">
        <w:rPr>
          <w:rFonts w:ascii="Arial" w:hAnsi="Arial" w:cs="Arial"/>
          <w:sz w:val="20"/>
          <w:szCs w:val="20"/>
        </w:rPr>
        <w:t>k</w:t>
      </w:r>
      <w:r w:rsidR="00260019" w:rsidRPr="00493FCD">
        <w:rPr>
          <w:rFonts w:ascii="Arial" w:hAnsi="Arial" w:cs="Arial"/>
          <w:sz w:val="20"/>
          <w:szCs w:val="20"/>
        </w:rPr>
        <w:t xml:space="preserve">ontrolnih životinja </w:t>
      </w:r>
      <w:r w:rsidR="00260019">
        <w:rPr>
          <w:rFonts w:ascii="Arial" w:hAnsi="Arial" w:cs="Arial"/>
          <w:sz w:val="20"/>
          <w:szCs w:val="20"/>
        </w:rPr>
        <w:t xml:space="preserve">(CTR), kontrolnih životinja 15 minuta nakon peroralne primjene D-galaktoze (CTR+PO), kontrolnih životinja 15 minuta nakon intraperitonealne primjene D-galaktoze (CTR+IP), STZ-icv tretiranih životinja mjesec dana nakon tretmana (STZ), STZ-icv tretiranih životinja mjesec dana nakon tretmana i 15 minuta nakon peroralne administracije D-galaktoze (STZ+PO) te STZ-icv tretiranih životinja </w:t>
      </w:r>
      <w:r w:rsidR="00260019" w:rsidRPr="00493FCD">
        <w:rPr>
          <w:rFonts w:ascii="Arial" w:hAnsi="Arial" w:cs="Arial"/>
          <w:sz w:val="20"/>
          <w:szCs w:val="20"/>
        </w:rPr>
        <w:t xml:space="preserve">mjesec dana nakon </w:t>
      </w:r>
      <w:r w:rsidR="00260019">
        <w:rPr>
          <w:rFonts w:ascii="Arial" w:hAnsi="Arial" w:cs="Arial"/>
          <w:sz w:val="20"/>
          <w:szCs w:val="20"/>
        </w:rPr>
        <w:t xml:space="preserve">tretmana i 15 minuta nakon intraperitonealne administracije D-galaktoze. </w:t>
      </w:r>
      <w:r w:rsidR="00625D42">
        <w:rPr>
          <w:rFonts w:ascii="Arial" w:hAnsi="Arial" w:cs="Arial"/>
          <w:sz w:val="20"/>
          <w:szCs w:val="20"/>
        </w:rPr>
        <w:t>Usporedba a</w:t>
      </w:r>
      <w:r w:rsidR="00260019">
        <w:rPr>
          <w:rFonts w:ascii="Arial" w:hAnsi="Arial" w:cs="Arial"/>
          <w:sz w:val="20"/>
          <w:szCs w:val="20"/>
        </w:rPr>
        <w:t>ktivnost</w:t>
      </w:r>
      <w:r w:rsidR="00625D42">
        <w:rPr>
          <w:rFonts w:ascii="Arial" w:hAnsi="Arial" w:cs="Arial"/>
          <w:sz w:val="20"/>
          <w:szCs w:val="20"/>
        </w:rPr>
        <w:t>i</w:t>
      </w:r>
      <w:r w:rsidR="00260019">
        <w:rPr>
          <w:rFonts w:ascii="Arial" w:hAnsi="Arial" w:cs="Arial"/>
          <w:sz w:val="20"/>
          <w:szCs w:val="20"/>
        </w:rPr>
        <w:t xml:space="preserve"> katalaze </w:t>
      </w:r>
      <w:r w:rsidR="00625D42">
        <w:rPr>
          <w:rFonts w:ascii="Arial" w:hAnsi="Arial" w:cs="Arial"/>
          <w:sz w:val="20"/>
          <w:szCs w:val="20"/>
        </w:rPr>
        <w:t>izražene kao</w:t>
      </w:r>
      <w:r w:rsidR="00260019" w:rsidRPr="00493FCD">
        <w:rPr>
          <w:rFonts w:ascii="Arial" w:hAnsi="Arial" w:cs="Arial"/>
          <w:sz w:val="20"/>
          <w:szCs w:val="20"/>
        </w:rPr>
        <w:t xml:space="preserve"> M razgrađenog vodikovog peroksida/min/mL/mg proteina (A). </w:t>
      </w:r>
      <w:r w:rsidR="00625D42">
        <w:rPr>
          <w:rFonts w:ascii="Arial" w:hAnsi="Arial" w:cs="Arial"/>
          <w:sz w:val="20"/>
          <w:szCs w:val="20"/>
        </w:rPr>
        <w:t xml:space="preserve">Usporedba količine </w:t>
      </w:r>
      <w:r w:rsidR="00260019" w:rsidRPr="00493FCD">
        <w:rPr>
          <w:rFonts w:ascii="Arial" w:hAnsi="Arial" w:cs="Arial"/>
          <w:sz w:val="20"/>
          <w:szCs w:val="20"/>
        </w:rPr>
        <w:t xml:space="preserve">reduciranog glutationa u moždanom deblu </w:t>
      </w:r>
      <w:r w:rsidR="00625D42">
        <w:rPr>
          <w:rFonts w:ascii="Arial" w:hAnsi="Arial" w:cs="Arial"/>
          <w:sz w:val="20"/>
          <w:szCs w:val="20"/>
        </w:rPr>
        <w:t>izražene kao</w:t>
      </w:r>
      <w:r w:rsidR="00260019" w:rsidRPr="00493FCD">
        <w:rPr>
          <w:rFonts w:ascii="Arial" w:hAnsi="Arial" w:cs="Arial"/>
          <w:sz w:val="20"/>
          <w:szCs w:val="20"/>
        </w:rPr>
        <w:t xml:space="preserve"> nM 5-tionitrobenzoata (TNB)/mg proteina (B). </w:t>
      </w:r>
      <w:r w:rsidR="00625D42">
        <w:rPr>
          <w:rFonts w:ascii="Arial" w:hAnsi="Arial" w:cs="Arial"/>
          <w:sz w:val="20"/>
          <w:szCs w:val="20"/>
        </w:rPr>
        <w:t>Usporedba lipidne peroksidacije u moždanom deblu izražene</w:t>
      </w:r>
      <w:r w:rsidR="00260019" w:rsidRPr="00493FCD">
        <w:rPr>
          <w:rFonts w:ascii="Arial" w:hAnsi="Arial" w:cs="Arial"/>
          <w:sz w:val="20"/>
          <w:szCs w:val="20"/>
        </w:rPr>
        <w:t xml:space="preserve"> kao nM malondialdehida (MDA) (C). Rezultati su izraženi kao aritmetička sredina ±SD. </w:t>
      </w:r>
      <w:r w:rsidR="00625D42">
        <w:rPr>
          <w:rFonts w:ascii="Arial" w:hAnsi="Arial" w:cs="Arial"/>
          <w:sz w:val="20"/>
          <w:szCs w:val="20"/>
        </w:rPr>
        <w:t xml:space="preserve">Statistična značajnost nakon analize Kruskal-Wallis ANOVA median testa govori u prilog statističke značajnosti promjene aktivnosti katalaze (p&lt;0,05) (A) i lipidne peroksidacije (p&lt;0,01) (C), dok rezultati reduciranog glutationa ne zadovoljavaju uvjete statističke značajnosti (p&gt;0,05). Statističe značajnosti između pojedinih grupa analizirane Mann Whitney U testom označene su na odgovarajućim grafovima </w:t>
      </w:r>
      <w:r w:rsidR="00BB4DDF">
        <w:rPr>
          <w:rFonts w:ascii="Arial" w:hAnsi="Arial" w:cs="Arial"/>
          <w:sz w:val="20"/>
          <w:szCs w:val="20"/>
        </w:rPr>
        <w:t>sljedećim oznakama:</w:t>
      </w:r>
      <w:r w:rsidR="00625D42">
        <w:rPr>
          <w:rFonts w:ascii="Arial" w:hAnsi="Arial" w:cs="Arial"/>
          <w:sz w:val="20"/>
          <w:szCs w:val="20"/>
        </w:rPr>
        <w:t xml:space="preserve"> *p&lt;0,05 </w:t>
      </w:r>
      <w:r w:rsidR="00625D42" w:rsidRPr="00493FCD">
        <w:rPr>
          <w:rFonts w:ascii="Arial" w:hAnsi="Arial" w:cs="Arial"/>
          <w:sz w:val="20"/>
          <w:szCs w:val="20"/>
        </w:rPr>
        <w:t>prema Mann Whitney U testu</w:t>
      </w:r>
      <w:r w:rsidR="00625D42">
        <w:rPr>
          <w:rFonts w:ascii="Arial" w:hAnsi="Arial" w:cs="Arial"/>
          <w:sz w:val="20"/>
          <w:szCs w:val="20"/>
        </w:rPr>
        <w:t>; *</w:t>
      </w:r>
      <w:r w:rsidR="00260019" w:rsidRPr="00493FCD">
        <w:rPr>
          <w:rFonts w:ascii="Arial" w:hAnsi="Arial" w:cs="Arial"/>
          <w:sz w:val="20"/>
          <w:szCs w:val="20"/>
        </w:rPr>
        <w:t>*p&lt;0,01</w:t>
      </w:r>
      <w:r w:rsidR="00625D42">
        <w:rPr>
          <w:rFonts w:ascii="Arial" w:hAnsi="Arial" w:cs="Arial"/>
          <w:sz w:val="20"/>
          <w:szCs w:val="20"/>
        </w:rPr>
        <w:t xml:space="preserve"> prema Mann Whitney U testu. </w:t>
      </w:r>
    </w:p>
    <w:p w14:paraId="24A57770" w14:textId="77777777" w:rsidR="00F949E3" w:rsidRDefault="00F949E3" w:rsidP="00746920">
      <w:pPr>
        <w:spacing w:line="240" w:lineRule="auto"/>
        <w:jc w:val="both"/>
        <w:rPr>
          <w:rFonts w:ascii="Arial" w:hAnsi="Arial" w:cs="Arial"/>
          <w:sz w:val="20"/>
          <w:szCs w:val="20"/>
        </w:rPr>
      </w:pPr>
    </w:p>
    <w:p w14:paraId="7AE3BA75" w14:textId="77777777" w:rsidR="00F949E3" w:rsidRDefault="00F949E3" w:rsidP="00746920">
      <w:pPr>
        <w:spacing w:line="240" w:lineRule="auto"/>
        <w:jc w:val="both"/>
        <w:rPr>
          <w:rFonts w:ascii="Arial" w:hAnsi="Arial" w:cs="Arial"/>
          <w:sz w:val="20"/>
          <w:szCs w:val="20"/>
        </w:rPr>
      </w:pPr>
    </w:p>
    <w:p w14:paraId="0D75123E" w14:textId="77777777" w:rsidR="00F949E3" w:rsidRDefault="00F949E3" w:rsidP="00746920">
      <w:pPr>
        <w:spacing w:line="240" w:lineRule="auto"/>
        <w:jc w:val="both"/>
        <w:rPr>
          <w:rFonts w:ascii="Arial" w:hAnsi="Arial" w:cs="Arial"/>
          <w:sz w:val="20"/>
          <w:szCs w:val="20"/>
        </w:rPr>
      </w:pPr>
    </w:p>
    <w:p w14:paraId="5F499230" w14:textId="3EEF7B14" w:rsidR="00F949E3" w:rsidRDefault="00F949E3" w:rsidP="00746920">
      <w:pPr>
        <w:spacing w:line="240" w:lineRule="auto"/>
        <w:jc w:val="both"/>
      </w:pPr>
    </w:p>
    <w:p w14:paraId="04517AC5" w14:textId="77777777" w:rsidR="00A67E72" w:rsidRDefault="00A67E72" w:rsidP="00746920">
      <w:pPr>
        <w:spacing w:line="240" w:lineRule="auto"/>
        <w:jc w:val="both"/>
      </w:pPr>
    </w:p>
    <w:p w14:paraId="247A2816" w14:textId="6248901E" w:rsidR="00F949E3" w:rsidRPr="00A67E72" w:rsidRDefault="00F949E3" w:rsidP="00F12B45">
      <w:pPr>
        <w:pStyle w:val="ListParagraph"/>
        <w:numPr>
          <w:ilvl w:val="0"/>
          <w:numId w:val="8"/>
        </w:numPr>
        <w:spacing w:line="360" w:lineRule="auto"/>
        <w:outlineLvl w:val="1"/>
        <w:rPr>
          <w:rFonts w:ascii="Arial" w:hAnsi="Arial" w:cs="Arial"/>
          <w:b/>
          <w:color w:val="000000"/>
          <w:shd w:val="clear" w:color="auto" w:fill="FFFFFF"/>
        </w:rPr>
      </w:pPr>
      <w:r w:rsidRPr="00A67E72">
        <w:rPr>
          <w:rFonts w:ascii="Arial" w:hAnsi="Arial" w:cs="Arial"/>
          <w:b/>
        </w:rPr>
        <w:lastRenderedPageBreak/>
        <w:t xml:space="preserve">RASPRAVA </w:t>
      </w:r>
    </w:p>
    <w:p w14:paraId="5CBF19C8" w14:textId="3513CC8B" w:rsidR="00782477" w:rsidRPr="00171F8E" w:rsidRDefault="00BB4DDF" w:rsidP="00F949E3">
      <w:pPr>
        <w:spacing w:line="360" w:lineRule="auto"/>
        <w:jc w:val="both"/>
        <w:rPr>
          <w:rFonts w:ascii="Arial" w:hAnsi="Arial" w:cs="Arial"/>
          <w:sz w:val="20"/>
          <w:szCs w:val="20"/>
        </w:rPr>
      </w:pPr>
      <w:r>
        <w:br/>
      </w:r>
      <w:r w:rsidR="00283A7D" w:rsidRPr="00C34523">
        <w:rPr>
          <w:rFonts w:ascii="Arial" w:hAnsi="Arial" w:cs="Arial"/>
          <w:sz w:val="20"/>
          <w:szCs w:val="20"/>
        </w:rPr>
        <w:t xml:space="preserve">Rezultati ovog istraživanja jasno pokazuju </w:t>
      </w:r>
      <w:r w:rsidR="00B26533" w:rsidRPr="00C34523">
        <w:rPr>
          <w:rFonts w:ascii="Arial" w:hAnsi="Arial" w:cs="Arial"/>
          <w:sz w:val="20"/>
          <w:szCs w:val="20"/>
        </w:rPr>
        <w:t>da betacitotoksična tvar STZ, koja se koristi za generiranje štakorskog modela sAD, ima učinak na stanice DMNX</w:t>
      </w:r>
      <w:r w:rsidR="004A3434" w:rsidRPr="00C34523">
        <w:rPr>
          <w:rFonts w:ascii="Arial" w:hAnsi="Arial" w:cs="Arial"/>
          <w:sz w:val="20"/>
          <w:szCs w:val="20"/>
        </w:rPr>
        <w:t xml:space="preserve"> u kojima uzrokuje nastanak akutnih i kroničnih biokemijskih promjena</w:t>
      </w:r>
      <w:r w:rsidR="00B26533" w:rsidRPr="00C34523">
        <w:rPr>
          <w:rFonts w:ascii="Arial" w:hAnsi="Arial" w:cs="Arial"/>
          <w:sz w:val="20"/>
          <w:szCs w:val="20"/>
        </w:rPr>
        <w:t xml:space="preserve">. </w:t>
      </w:r>
      <w:r w:rsidR="009E1244" w:rsidRPr="00C34523">
        <w:rPr>
          <w:rFonts w:ascii="Arial" w:hAnsi="Arial" w:cs="Arial"/>
          <w:sz w:val="20"/>
          <w:szCs w:val="20"/>
        </w:rPr>
        <w:t>Na temelju rezultata pokusa dizajniranih za evaluaciju akutnog učinka STZ-icv pokazali smo da STZ-icv akutno aktivira stanice DMNX što je vidljivo po trenutnom povećanju ekspresije markera neuronalne aktivnosti, protoonkogena c-fos (</w:t>
      </w:r>
      <w:r w:rsidR="00B82811">
        <w:rPr>
          <w:rFonts w:ascii="Arial" w:hAnsi="Arial" w:cs="Arial"/>
          <w:sz w:val="20"/>
          <w:szCs w:val="20"/>
        </w:rPr>
        <w:t>S</w:t>
      </w:r>
      <w:r w:rsidR="009E1244" w:rsidRPr="00C34523">
        <w:rPr>
          <w:rFonts w:ascii="Arial" w:hAnsi="Arial" w:cs="Arial"/>
          <w:sz w:val="20"/>
          <w:szCs w:val="20"/>
        </w:rPr>
        <w:t>lika</w:t>
      </w:r>
      <w:r w:rsidR="00B82811">
        <w:rPr>
          <w:rFonts w:ascii="Arial" w:hAnsi="Arial" w:cs="Arial"/>
          <w:sz w:val="20"/>
          <w:szCs w:val="20"/>
        </w:rPr>
        <w:t xml:space="preserve"> 3</w:t>
      </w:r>
      <w:r w:rsidR="00A67E72">
        <w:rPr>
          <w:rFonts w:ascii="Arial" w:hAnsi="Arial" w:cs="Arial"/>
          <w:sz w:val="20"/>
          <w:szCs w:val="20"/>
        </w:rPr>
        <w:t>.</w:t>
      </w:r>
      <w:r w:rsidR="009E1244" w:rsidRPr="00C34523">
        <w:rPr>
          <w:rFonts w:ascii="Arial" w:hAnsi="Arial" w:cs="Arial"/>
          <w:sz w:val="20"/>
          <w:szCs w:val="20"/>
        </w:rPr>
        <w:t>) i uzrokuje biokemijske promjene u vidu povećanja signala za IR i pULK1 (</w:t>
      </w:r>
      <w:r w:rsidR="00B82811">
        <w:rPr>
          <w:rFonts w:ascii="Arial" w:hAnsi="Arial" w:cs="Arial"/>
          <w:sz w:val="20"/>
          <w:szCs w:val="20"/>
        </w:rPr>
        <w:t>S</w:t>
      </w:r>
      <w:r w:rsidR="009E1244" w:rsidRPr="00C34523">
        <w:rPr>
          <w:rFonts w:ascii="Arial" w:hAnsi="Arial" w:cs="Arial"/>
          <w:sz w:val="20"/>
          <w:szCs w:val="20"/>
        </w:rPr>
        <w:t>lika</w:t>
      </w:r>
      <w:r w:rsidR="00B82811">
        <w:rPr>
          <w:rFonts w:ascii="Arial" w:hAnsi="Arial" w:cs="Arial"/>
          <w:sz w:val="20"/>
          <w:szCs w:val="20"/>
        </w:rPr>
        <w:t xml:space="preserve"> 4</w:t>
      </w:r>
      <w:r w:rsidR="00A67E72">
        <w:rPr>
          <w:rFonts w:ascii="Arial" w:hAnsi="Arial" w:cs="Arial"/>
          <w:sz w:val="20"/>
          <w:szCs w:val="20"/>
        </w:rPr>
        <w:t>.</w:t>
      </w:r>
      <w:r w:rsidR="009E1244" w:rsidRPr="00C34523">
        <w:rPr>
          <w:rFonts w:ascii="Arial" w:hAnsi="Arial" w:cs="Arial"/>
          <w:sz w:val="20"/>
          <w:szCs w:val="20"/>
        </w:rPr>
        <w:t>).</w:t>
      </w:r>
      <w:r w:rsidR="009A6E5B" w:rsidRPr="00C34523">
        <w:rPr>
          <w:rFonts w:ascii="Arial" w:hAnsi="Arial" w:cs="Arial"/>
          <w:sz w:val="20"/>
          <w:szCs w:val="20"/>
        </w:rPr>
        <w:t xml:space="preserve"> </w:t>
      </w:r>
      <w:r w:rsidR="00EB7997" w:rsidRPr="00C34523">
        <w:rPr>
          <w:rFonts w:ascii="Arial" w:hAnsi="Arial" w:cs="Arial"/>
          <w:sz w:val="20"/>
          <w:szCs w:val="20"/>
        </w:rPr>
        <w:t xml:space="preserve">Inzulinska signalizacija u DVC intenzivno se istražuje u </w:t>
      </w:r>
      <w:r w:rsidR="00EB7997" w:rsidRPr="00DF1F73">
        <w:rPr>
          <w:rFonts w:ascii="Arial" w:hAnsi="Arial" w:cs="Arial"/>
          <w:sz w:val="20"/>
          <w:szCs w:val="20"/>
        </w:rPr>
        <w:t xml:space="preserve">kontekstu regulacije homeostaze energije. Aktivacija inzulinskog receptora u DVC signalizacijskim putem ovisnim o ERK1/2, a neovisnim o PI3K smanjuje proizvodnju glukoze i unos hrane </w:t>
      </w:r>
      <w:r w:rsidR="00C34523" w:rsidRPr="00DF1F73">
        <w:rPr>
          <w:rFonts w:ascii="Arial" w:hAnsi="Arial" w:cs="Arial"/>
          <w:sz w:val="20"/>
          <w:szCs w:val="20"/>
        </w:rPr>
        <w:fldChar w:fldCharType="begin" w:fldLock="1"/>
      </w:r>
      <w:r w:rsidR="00C34523" w:rsidRPr="00DF1F73">
        <w:rPr>
          <w:rFonts w:ascii="Arial" w:hAnsi="Arial" w:cs="Arial"/>
          <w:sz w:val="20"/>
          <w:szCs w:val="20"/>
        </w:rPr>
        <w:instrText>ADDIN CSL_CITATION { "citationItems" : [ { "id" : "ITEM-1", "itemData" : { "DOI" : "10.2337/db13-1044", "ISSN" : "0012-1797", "PMID" : "24270985", "abstract" : "Insulin signaling in the hypothalamus regulates food intake and hepatic glucose production in rodents. Although it is known that insulin also activates insulin receptor in the dorsal vagal complex (DVC) to lower glucose production through an extracellular signal-related kinase 1/2 (Erk1/2)-dependent and phosphatidylinositol 3-kinase (PI3K)-independent pathway, it is unknown whether DVC insulin action regulates food intake. We report here that a single acute infusion of insulin into the DVC decreased food intake in healthy male rats. Chemical and molecular inhibition of Erk1/2 signaling in the DVC negated the acute anorectic effect of insulin in healthy rats, while DVC insulin acute infusion failed to lower food intake in high fat-fed rats. Finally, molecular disruption of Erk1/2 signaling in the DVC of healthy rats per se increased food intake and induced obesity over a period of 2 weeks, whereas a daily repeated acute DVC insulin infusion for 12 days conversely decreased food intake and body weight in healthy rats. In summary, insulin activates Erk1/2 signaling in the DVC to regulate energy balance.", "author" : [ { "dropping-particle" : "", "family" : "Filippi", "given" : "B. M.", "non-dropping-particle" : "", "parse-names" : false, "suffix" : "" }, { "dropping-particle" : "", "family" : "Bassiri", "given" : "A.", "non-dropping-particle" : "", "parse-names" : false, "suffix" : "" }, { "dropping-particle" : "", "family" : "Abraham", "given" : "M. A.", "non-dropping-particle" : "", "parse-names" : false, "suffix" : "" }, { "dropping-particle" : "", "family" : "Duca", "given" : "F. A.", "non-dropping-particle" : "", "parse-names" : false, "suffix" : "" }, { "dropping-particle" : "", "family" : "Yue", "given" : "J. T. Y.", "non-dropping-particle" : "", "parse-names" : false, "suffix" : "" }, { "dropping-particle" : "", "family" : "Lam", "given" : "T. K. T.", "non-dropping-particle" : "", "parse-names" : false, "suffix" : "" } ], "container-title" : "Diabetes", "id" : "ITEM-1", "issue" : "3", "issued" : { "date-parts" : [ [ "2014", "3", "1" ] ] }, "page" : "892-899", "title" : "Insulin Signals Through the Dorsal Vagal Complex to Regulate Energy Balance", "type" : "article-journal", "volume" : "63" }, "uris" : [ "http://www.mendeley.com/documents/?uuid=1b67fbb6-08e9-3992-85d2-cd24eda9fd87" ] } ], "mendeley" : { "formattedCitation" : "(Filippi et al., 2014)", "plainTextFormattedCitation" : "(Filippi et al., 2014)", "previouslyFormattedCitation" : "(Filippi et al., 2014)" }, "properties" : {  }, "schema" : "https://github.com/citation-style-language/schema/raw/master/csl-citation.json" }</w:instrText>
      </w:r>
      <w:r w:rsidR="00C34523" w:rsidRPr="00DF1F73">
        <w:rPr>
          <w:rFonts w:ascii="Arial" w:hAnsi="Arial" w:cs="Arial"/>
          <w:sz w:val="20"/>
          <w:szCs w:val="20"/>
        </w:rPr>
        <w:fldChar w:fldCharType="separate"/>
      </w:r>
      <w:r w:rsidR="00F12B45" w:rsidRPr="00DF1F73">
        <w:rPr>
          <w:rFonts w:ascii="Arial" w:hAnsi="Arial" w:cs="Arial"/>
          <w:noProof/>
          <w:sz w:val="20"/>
          <w:szCs w:val="20"/>
        </w:rPr>
        <w:t>(Filippi i sur</w:t>
      </w:r>
      <w:r w:rsidR="00C34523" w:rsidRPr="00DF1F73">
        <w:rPr>
          <w:rFonts w:ascii="Arial" w:hAnsi="Arial" w:cs="Arial"/>
          <w:noProof/>
          <w:sz w:val="20"/>
          <w:szCs w:val="20"/>
        </w:rPr>
        <w:t>., 2014)</w:t>
      </w:r>
      <w:r w:rsidR="00C34523" w:rsidRPr="00DF1F73">
        <w:rPr>
          <w:rFonts w:ascii="Arial" w:hAnsi="Arial" w:cs="Arial"/>
          <w:sz w:val="20"/>
          <w:szCs w:val="20"/>
        </w:rPr>
        <w:fldChar w:fldCharType="end"/>
      </w:r>
      <w:r w:rsidR="00C34523" w:rsidRPr="00DF1F73">
        <w:rPr>
          <w:rFonts w:ascii="Arial" w:hAnsi="Arial" w:cs="Arial"/>
          <w:sz w:val="20"/>
          <w:szCs w:val="20"/>
        </w:rPr>
        <w:t xml:space="preserve">. </w:t>
      </w:r>
      <w:r w:rsidR="00B60CAC" w:rsidRPr="00DF1F73">
        <w:rPr>
          <w:rFonts w:ascii="Arial" w:hAnsi="Arial" w:cs="Arial"/>
          <w:sz w:val="20"/>
          <w:szCs w:val="20"/>
        </w:rPr>
        <w:t>S obzirom da</w:t>
      </w:r>
      <w:r w:rsidR="0044509C" w:rsidRPr="00DF1F73">
        <w:rPr>
          <w:rFonts w:ascii="Arial" w:hAnsi="Arial" w:cs="Arial"/>
          <w:sz w:val="20"/>
          <w:szCs w:val="20"/>
        </w:rPr>
        <w:t xml:space="preserve"> se tjelesna težina životinja</w:t>
      </w:r>
      <w:r w:rsidR="00B60CAC" w:rsidRPr="00DF1F73">
        <w:rPr>
          <w:rFonts w:ascii="Arial" w:hAnsi="Arial" w:cs="Arial"/>
          <w:sz w:val="20"/>
          <w:szCs w:val="20"/>
        </w:rPr>
        <w:t xml:space="preserve"> nakon </w:t>
      </w:r>
      <w:r w:rsidR="0044509C" w:rsidRPr="00DF1F73">
        <w:rPr>
          <w:rFonts w:ascii="Arial" w:hAnsi="Arial" w:cs="Arial"/>
          <w:sz w:val="20"/>
          <w:szCs w:val="20"/>
        </w:rPr>
        <w:t xml:space="preserve">STZ-icv administracije u početnom stadiju smanjuje, a nakon toga naglo raste </w:t>
      </w:r>
      <w:r w:rsidR="0044509C" w:rsidRPr="00DF1F73">
        <w:rPr>
          <w:rFonts w:ascii="Arial" w:hAnsi="Arial" w:cs="Arial"/>
          <w:sz w:val="20"/>
          <w:szCs w:val="20"/>
        </w:rPr>
        <w:fldChar w:fldCharType="begin" w:fldLock="1"/>
      </w:r>
      <w:r w:rsidR="0044509C" w:rsidRPr="00DF1F73">
        <w:rPr>
          <w:rFonts w:ascii="Arial" w:hAnsi="Arial" w:cs="Arial"/>
          <w:sz w:val="20"/>
          <w:szCs w:val="20"/>
        </w:rPr>
        <w:instrText>ADDIN CSL_CITATION { "citationItems" : [ { "id" : "ITEM-1", "itemData" : { "DOI" : "10.3233/JAD-161289", "ISSN" : "13872877", "PMID" : "28800326", "abstract" : "BACKGROUND Animal models of dementia associated with metabolic abnormalities play an important role in understanding the bidirectional relationships between these pathologies. Rodent strains develop cognitive dysfunctions without alteration of peripheral metabolism following intracerebroventricular administration of streptozotocin (icv-STZ). OBJECTIVE We aimed to estimate the effect of icv-STZ on cognitive functions and peripheral metabolism in Lewis rats, which are rarely used for the induction of cognitive abnormalities. METHODS Inbred adult Lewis rats were treated with single icv-STZ (3\u200amg/kg). Cognitive functions were assessed using Morris water maze (MWM) test and locomotion by the Open Field test. Metabolic alterations were studied using histological and biochemical analysis of brain and peripheral tissues. RESULTS The icv-STZ induced rapid weight decline during the first two weeks. Thereafter, the rats showed an accelerated weight gain. Three months after the icv-STZ treatment, the rats were severely obese and revealed fatty liver, pancreatic islet hypertrophy, significantly elevated levels of blood insulin, leptin, and adiponectin, but intact peripheral glucose homeostasis. The icv-STZ rats expressed amyloid-\u03b2 deposits in blood vessels of leptomeningeal area, microgliosis, astrogliosis, and spongiosis in fimbria-fornix area of hippocampus. Locomotor activities of icv-STZ treated and sham-operated rats were similar. In the MWM test, the icv-STZ treated rats demonstrated severely impaired spatial learning during both acquisition and reversal phases. CONCLUSIONS Icv-STZ treated Lewis rats develop severe dementia associated with obesity and peripheral metabolic abnormalities. This animal model may be useful for exploring the pathophysiological relationship between obesity and dementia and provides a new tool for development of effective therapy.", "author" : [ { "dropping-particle" : "", "family" : "Bloch", "given" : "Konstantin", "non-dropping-particle" : "", "parse-names" : false, "suffix" : "" }, { "dropping-particle" : "", "family" : "Gil-Ad", "given" : "Irit", "non-dropping-particle" : "", "parse-names" : false, "suffix" : "" }, { "dropping-particle" : "", "family" : "Vanichkin", "given" : "Alexey", "non-dropping-particle" : "", "parse-names" : false, "suffix" : "" }, { "dropping-particle" : "", "family" : "Hornfeld", "given" : "Shay Henry", "non-dropping-particle" : "", "parse-names" : false, "suffix" : "" }, { "dropping-particle" : "", "family" : "Koroukhov", "given" : "Nickolay", "non-dropping-particle" : "", "parse-names" : false, "suffix" : "" }, { "dropping-particle" : "", "family" : "Taler", "given" : "Michal", "non-dropping-particle" : "", "parse-names" : false, "suffix" : "" }, { "dropping-particle" : "", "family" : "Vardi", "given" : "Pnina", "non-dropping-particle" : "", "parse-names" : false, "suffix" : "" }, { "dropping-particle" : "", "family" : "Weizman", "given" : "Abraham", "non-dropping-particle" : "", "parse-names" : false, "suffix" : "" } ], "container-title" : "Journal of Alzheimer's Disease", "id" : "ITEM-1", "issue" : "1", "issued" : { "date-parts" : [ [ "2017", "8", "29" ] ] }, "page" : "121-136", "title" : "Intracerebroventricular Streptozotocin Induces Obesity and Dementia in Lewis Rats", "type" : "article-journal", "volume" : "60" }, "uris" : [ "http://www.mendeley.com/documents/?uuid=b02c106c-8977-3113-8b01-39eb14c2ff16" ] } ], "mendeley" : { "formattedCitation" : "(Bloch et al., 2017)", "plainTextFormattedCitation" : "(Bloch et al., 2017)", "previouslyFormattedCitation" : "(Bloch et al., 2017)" }, "properties" : {  }, "schema" : "https://github.com/citation-style-language/schema/raw/master/csl-citation.json" }</w:instrText>
      </w:r>
      <w:r w:rsidR="0044509C" w:rsidRPr="00DF1F73">
        <w:rPr>
          <w:rFonts w:ascii="Arial" w:hAnsi="Arial" w:cs="Arial"/>
          <w:sz w:val="20"/>
          <w:szCs w:val="20"/>
        </w:rPr>
        <w:fldChar w:fldCharType="separate"/>
      </w:r>
      <w:r w:rsidR="0044509C" w:rsidRPr="00DF1F73">
        <w:rPr>
          <w:rFonts w:ascii="Arial" w:hAnsi="Arial" w:cs="Arial"/>
          <w:noProof/>
          <w:sz w:val="20"/>
          <w:szCs w:val="20"/>
        </w:rPr>
        <w:t>(Bloch</w:t>
      </w:r>
      <w:r w:rsidR="00F12B45" w:rsidRPr="00DF1F73">
        <w:rPr>
          <w:rFonts w:ascii="Arial" w:hAnsi="Arial" w:cs="Arial"/>
          <w:noProof/>
          <w:sz w:val="20"/>
          <w:szCs w:val="20"/>
        </w:rPr>
        <w:t xml:space="preserve"> i sur</w:t>
      </w:r>
      <w:r w:rsidR="0044509C" w:rsidRPr="00DF1F73">
        <w:rPr>
          <w:rFonts w:ascii="Arial" w:hAnsi="Arial" w:cs="Arial"/>
          <w:noProof/>
          <w:sz w:val="20"/>
          <w:szCs w:val="20"/>
        </w:rPr>
        <w:t>., 2017)</w:t>
      </w:r>
      <w:r w:rsidR="0044509C" w:rsidRPr="00DF1F73">
        <w:rPr>
          <w:rFonts w:ascii="Arial" w:hAnsi="Arial" w:cs="Arial"/>
          <w:sz w:val="20"/>
          <w:szCs w:val="20"/>
        </w:rPr>
        <w:fldChar w:fldCharType="end"/>
      </w:r>
      <w:r w:rsidR="0044509C" w:rsidRPr="00DF1F73">
        <w:rPr>
          <w:rFonts w:ascii="Arial" w:hAnsi="Arial" w:cs="Arial"/>
          <w:sz w:val="20"/>
          <w:szCs w:val="20"/>
        </w:rPr>
        <w:t xml:space="preserve">, metaboličke promjene inzulinske signalizacije u DMNX mogle bi objasniti ovaj fenomen. </w:t>
      </w:r>
      <w:r w:rsidR="00EE6B8A" w:rsidRPr="00DF1F73">
        <w:rPr>
          <w:rFonts w:ascii="Arial" w:hAnsi="Arial" w:cs="Arial"/>
          <w:sz w:val="20"/>
          <w:szCs w:val="20"/>
        </w:rPr>
        <w:t xml:space="preserve">GFAP pozitivne stanice u subpostremalnom području DVC smatraju se važnima za migraciju i diferencijaciju proliferativnih neuronalnih prekusorskih stanica u zidu četvrte moždane komore </w:t>
      </w:r>
      <w:r w:rsidR="00241C69" w:rsidRPr="00DF1F73">
        <w:rPr>
          <w:rFonts w:ascii="Arial" w:hAnsi="Arial" w:cs="Arial"/>
          <w:sz w:val="20"/>
          <w:szCs w:val="20"/>
        </w:rPr>
        <w:fldChar w:fldCharType="begin" w:fldLock="1"/>
      </w:r>
      <w:r w:rsidR="00241C69" w:rsidRPr="00DF1F73">
        <w:rPr>
          <w:rFonts w:ascii="Arial" w:hAnsi="Arial" w:cs="Arial"/>
          <w:sz w:val="20"/>
          <w:szCs w:val="20"/>
        </w:rPr>
        <w:instrText>ADDIN CSL_CITATION { "citationItems" : [ { "id" : "ITEM-1", "itemData" : { "DOI" : "10.1002/cne.21259", "ISSN" : "00219967", "PMID" : "17245710", "abstract" : "The dorsal vagal complex (DVC), an integrative center of autonomic functions located dorsally in the caudal brainstem, comprises the nucleus tractus solitarius (NTS), the area postrema (AP), and the dorsal motor nucleus of the vagus nerve (DMNX). Recently, this area of the brainstem was shown to retain, during adulthood, the expression of developmental markers, which is consistent with several forms of morphological and functional plasticity. These data led us to attempt to determine the structural organization and phenotypical characteristics of the astroglial compartment in the adult DVC. We report a strikingly high density of glial fibrillary acidic protein (GFAP) immunoreactive cells in the NTS and the DMNX compared to other brainstem structures. Furthermore, we observed a subpopulation of atypical GFAP+ cells in the NTS. These cells expressed vimentin and nestin and displayed unbranched processes that radiate rostrocaudally from cuboid cell bodies located in the 4th ventricle wall. Interestingly, these radiating cells were found in close association with neural progenitors whose proliferation was stimulated by intracerebroventricular injection of epidermal growth factor/basic fibroblast growth factor or lesion of the vagus nerve. Newly born neurons in the NTS identified by doublecortin (DCX) immunolabeling were also preferentially found in the vicinity of the radiating cells. Altogether, these results indicate that the adult NTS retains, during adulthood, astroglial cells that display morphological and phenotypical features seen during development. The overlap in the distribution of proliferative neural progenitors, newborn neurons, and radiating GFAP-positive cells suggest a possible role of the glial compartment of the NTS in functional plasticity in this structure.", "author" : [ { "dropping-particle" : "", "family" : "Pecchi", "given" : "Emilie", "non-dropping-particle" : "", "parse-names" : false, "suffix" : "" }, { "dropping-particle" : "", "family" : "Dallaporta", "given" : "Michel", "non-dropping-particle" : "", "parse-names" : false, "suffix" : "" }, { "dropping-particle" : "", "family" : "Charrier", "given" : "C\u00e9line", "non-dropping-particle" : "", "parse-names" : false, "suffix" : "" }, { "dropping-particle" : "", "family" : "Pio", "given" : "Juliette", "non-dropping-particle" : "", "parse-names" : false, "suffix" : "" }, { "dropping-particle" : "", "family" : "Jean", "given" : "Andr\u00e9", "non-dropping-particle" : "", "parse-names" : false, "suffix" : "" }, { "dropping-particle" : "", "family" : "Moyse", "given" : "Emmanuel", "non-dropping-particle" : "", "parse-names" : false, "suffix" : "" }, { "dropping-particle" : "", "family" : "Troadec", "given" : "Jean-Denis", "non-dropping-particle" : "", "parse-names" : false, "suffix" : "" } ], "container-title" : "The Journal of Comparative Neurology", "id" : "ITEM-1", "issue" : "3", "issued" : { "date-parts" : [ [ "2007", "3", "20" ] ] }, "page" : "353-368", "title" : "Glial fibrillary acidic protein (GFAP)-positive radial-like cells are present in the vicinity of proliferative progenitors in the nucleus tractus solitarius of adult rat", "type" : "article-journal", "volume" : "501" }, "uris" : [ "http://www.mendeley.com/documents/?uuid=eb8d1314-ce60-3e40-9fa9-cb26dc7ad14d" ] } ], "mendeley" : { "formattedCitation" : "(Pecchi et al., 2007)", "plainTextFormattedCitation" : "(Pecchi et al., 2007)", "previouslyFormattedCitation" : "(Pecchi et al., 2007)" }, "properties" : {  }, "schema" : "https://github.com/citation-style-language/schema/raw/master/csl-citation.json" }</w:instrText>
      </w:r>
      <w:r w:rsidR="00241C69" w:rsidRPr="00DF1F73">
        <w:rPr>
          <w:rFonts w:ascii="Arial" w:hAnsi="Arial" w:cs="Arial"/>
          <w:sz w:val="20"/>
          <w:szCs w:val="20"/>
        </w:rPr>
        <w:fldChar w:fldCharType="separate"/>
      </w:r>
      <w:r w:rsidR="00241C69" w:rsidRPr="00DF1F73">
        <w:rPr>
          <w:rFonts w:ascii="Arial" w:hAnsi="Arial" w:cs="Arial"/>
          <w:noProof/>
          <w:sz w:val="20"/>
          <w:szCs w:val="20"/>
        </w:rPr>
        <w:t xml:space="preserve">(Pecchi </w:t>
      </w:r>
      <w:r w:rsidR="00F12B45" w:rsidRPr="00DF1F73">
        <w:rPr>
          <w:rFonts w:ascii="Arial" w:hAnsi="Arial" w:cs="Arial"/>
          <w:noProof/>
          <w:sz w:val="20"/>
          <w:szCs w:val="20"/>
        </w:rPr>
        <w:t>i sur</w:t>
      </w:r>
      <w:r w:rsidR="00241C69" w:rsidRPr="00DF1F73">
        <w:rPr>
          <w:rFonts w:ascii="Arial" w:hAnsi="Arial" w:cs="Arial"/>
          <w:noProof/>
          <w:sz w:val="20"/>
          <w:szCs w:val="20"/>
        </w:rPr>
        <w:t>., 2007)</w:t>
      </w:r>
      <w:r w:rsidR="00241C69" w:rsidRPr="00DF1F73">
        <w:rPr>
          <w:rFonts w:ascii="Arial" w:hAnsi="Arial" w:cs="Arial"/>
          <w:sz w:val="20"/>
          <w:szCs w:val="20"/>
        </w:rPr>
        <w:fldChar w:fldCharType="end"/>
      </w:r>
      <w:r w:rsidR="00241C69" w:rsidRPr="00DF1F73">
        <w:rPr>
          <w:rFonts w:ascii="Arial" w:hAnsi="Arial" w:cs="Arial"/>
          <w:sz w:val="20"/>
          <w:szCs w:val="20"/>
        </w:rPr>
        <w:t>. Imajući na umu i metaboličku i funkcionalnu međuovisnost neurona i astrocita, smanjenje GFAP signala</w:t>
      </w:r>
      <w:r w:rsidR="00045E86" w:rsidRPr="00DF1F73">
        <w:rPr>
          <w:rFonts w:ascii="Arial" w:hAnsi="Arial" w:cs="Arial"/>
          <w:sz w:val="20"/>
          <w:szCs w:val="20"/>
        </w:rPr>
        <w:t xml:space="preserve"> u ovom području</w:t>
      </w:r>
      <w:r w:rsidR="00241C69" w:rsidRPr="00DF1F73">
        <w:rPr>
          <w:rFonts w:ascii="Arial" w:hAnsi="Arial" w:cs="Arial"/>
          <w:sz w:val="20"/>
          <w:szCs w:val="20"/>
        </w:rPr>
        <w:t xml:space="preserve"> nakon STZ-icv moglo bi</w:t>
      </w:r>
      <w:r w:rsidR="00241C69">
        <w:rPr>
          <w:rFonts w:ascii="Arial" w:hAnsi="Arial" w:cs="Arial"/>
          <w:sz w:val="20"/>
          <w:szCs w:val="20"/>
        </w:rPr>
        <w:t xml:space="preserve"> imati za posljedicu smanjenje metaboličke reaktivnosti stanica DMNX i nemogućnost adaptacije i obnove zbog narušenog sustava proliferacije i migracije novih stanica. Kroničnim eksperimentima pokazali smo da su metaboličke promjene DMNX uzrokovane STZ-icv prisutne i mjesec dana nakon tretmana. </w:t>
      </w:r>
      <w:r w:rsidR="00C55C61">
        <w:rPr>
          <w:rFonts w:ascii="Arial" w:hAnsi="Arial" w:cs="Arial"/>
          <w:sz w:val="20"/>
          <w:szCs w:val="20"/>
        </w:rPr>
        <w:t>Količina inzulinskog receptora u DMNX smanjena je u STZ-icv životinja, ali nema očite razlike u intenzitetu signala pIRS1 što bi moglo govoriti u prilog kompleks</w:t>
      </w:r>
      <w:r w:rsidR="003D54DA">
        <w:rPr>
          <w:rFonts w:ascii="Arial" w:hAnsi="Arial" w:cs="Arial"/>
          <w:sz w:val="20"/>
          <w:szCs w:val="20"/>
        </w:rPr>
        <w:t>n</w:t>
      </w:r>
      <w:r w:rsidR="00C55C61">
        <w:rPr>
          <w:rFonts w:ascii="Arial" w:hAnsi="Arial" w:cs="Arial"/>
          <w:sz w:val="20"/>
          <w:szCs w:val="20"/>
        </w:rPr>
        <w:t>e disregulacij</w:t>
      </w:r>
      <w:r w:rsidR="003D54DA">
        <w:rPr>
          <w:rFonts w:ascii="Arial" w:hAnsi="Arial" w:cs="Arial"/>
          <w:sz w:val="20"/>
          <w:szCs w:val="20"/>
        </w:rPr>
        <w:t xml:space="preserve">e inzulinske </w:t>
      </w:r>
      <w:r w:rsidR="003D54DA" w:rsidRPr="00DF1F73">
        <w:rPr>
          <w:rFonts w:ascii="Arial" w:hAnsi="Arial" w:cs="Arial"/>
          <w:sz w:val="20"/>
          <w:szCs w:val="20"/>
        </w:rPr>
        <w:t>signalizacije kakva</w:t>
      </w:r>
      <w:r w:rsidR="00C55C61" w:rsidRPr="00DF1F73">
        <w:rPr>
          <w:rFonts w:ascii="Arial" w:hAnsi="Arial" w:cs="Arial"/>
          <w:sz w:val="20"/>
          <w:szCs w:val="20"/>
        </w:rPr>
        <w:t xml:space="preserve"> je već opisana u literaturi </w:t>
      </w:r>
      <w:r w:rsidR="00C55C61" w:rsidRPr="00DF1F73">
        <w:rPr>
          <w:rFonts w:ascii="Arial" w:hAnsi="Arial" w:cs="Arial"/>
          <w:sz w:val="20"/>
          <w:szCs w:val="20"/>
        </w:rPr>
        <w:fldChar w:fldCharType="begin" w:fldLock="1"/>
      </w:r>
      <w:r w:rsidR="00171F8E" w:rsidRPr="00DF1F73">
        <w:rPr>
          <w:rFonts w:ascii="Arial" w:hAnsi="Arial" w:cs="Arial"/>
          <w:sz w:val="20"/>
          <w:szCs w:val="20"/>
        </w:rPr>
        <w:instrText>ADDIN CSL_CITATION { "citationItems" : [ { "id" : "ITEM-1", "itemData" : { "DOI" : "10.1111/j.1471-4159.2006.04368.x", "ISSN" : "0022-3042", "PMID" : "17448147", "abstract" : "The intracerebroventricular (icv) application of streptozotocin (STZ) in low dosage was used in 3-month-old rats to explore brain insulin system dysfunction. Three months following STZ icv treatment, the expression of insulin-1 and -2 mRNA was significantly reduced to 11% in hippocampus and to 28% in frontoparietal cerebral cortex, respectively. Insulin receptor (IR) mRNA expression decreased significantly in frontoparietal cerebral cortex and hippocampus (16% and 33% of control). At the protein/activity level, different abnormalities of protein tyrosine kinase activity (increase in hippocampus), total IR beta-subunit (decrease in hypothalamus) and phosphorylated IR tyrosine residues (increase) became apparent. The STZ-induced disturbance in learning and memory capacities was not abolished by icv application of glucose transport inhibitors known to prevent STZ-induced diabetes mellitus. The discrepancy between reduced IR gene expression and increase in both phosphorylated IR tyrosine residues/protein tyrosine kinase activity may indicate imbalance between phosphorylation/dephosphorylation of the IR beta-subunit causing its dysfunction. These abnormalities may point to a complex brain insulin system dysfunction after STZ icv application, which may lead to an increase in hyperphosphorylated tau-protein concentration. Brain insulin system dysfunction is discussed as possible pathological core in the generation of hyperphosphorylated tau protein as a morphological marker of sporadic Alzheimer's disease.", "author" : [ { "dropping-particle" : "", "family" : "Gr\u00fcnblatt", "given" : "Edna", "non-dropping-particle" : "", "parse-names" : false, "suffix" : "" }, { "dropping-particle" : "", "family" : "Salkovic-Petrisic", "given" : "Melita", "non-dropping-particle" : "", "parse-names" : false, "suffix" : "" }, { "dropping-particle" : "", "family" : "Osmanovic", "given" : "Jelena", "non-dropping-particle" : "", "parse-names" : false, "suffix" : "" }, { "dropping-particle" : "", "family" : "Riederer", "given" : "Peter", "non-dropping-particle" : "", "parse-names" : false, "suffix" : "" }, { "dropping-particle" : "", "family" : "Hoyer", "given" : "Siegfried", "non-dropping-particle" : "", "parse-names" : false, "suffix" : "" } ], "container-title" : "Journal of neurochemistry", "id" : "ITEM-1", "issue" : "3", "issued" : { "date-parts" : [ [ "2007", "5" ] ] }, "page" : "757-70", "title" : "Brain insulin system dysfunction in streptozotocin intracerebroventricularly treated rats generates hyperphosphorylated tau protein.", "type" : "article-journal", "volume" : "101" }, "uris" : [ "http://www.mendeley.com/documents/?uuid=7128db51-216a-31bc-a01b-bfa58f62813a" ] } ], "mendeley" : { "formattedCitation" : "(Gr\u00fcnblatt et al., 2007)", "plainTextFormattedCitation" : "(Gr\u00fcnblatt et al., 2007)", "previouslyFormattedCitation" : "(Gr\u00fcnblatt et al., 2007)" }, "properties" : {  }, "schema" : "https://github.com/citation-style-language/schema/raw/master/csl-citation.json" }</w:instrText>
      </w:r>
      <w:r w:rsidR="00C55C61" w:rsidRPr="00DF1F73">
        <w:rPr>
          <w:rFonts w:ascii="Arial" w:hAnsi="Arial" w:cs="Arial"/>
          <w:sz w:val="20"/>
          <w:szCs w:val="20"/>
        </w:rPr>
        <w:fldChar w:fldCharType="separate"/>
      </w:r>
      <w:r w:rsidR="00171F8E" w:rsidRPr="00DF1F73">
        <w:rPr>
          <w:rFonts w:ascii="Arial" w:hAnsi="Arial" w:cs="Arial"/>
          <w:noProof/>
          <w:sz w:val="20"/>
          <w:szCs w:val="20"/>
        </w:rPr>
        <w:t xml:space="preserve">(Grünblatt </w:t>
      </w:r>
      <w:r w:rsidR="00F12B45" w:rsidRPr="00DF1F73">
        <w:rPr>
          <w:rFonts w:ascii="Arial" w:hAnsi="Arial" w:cs="Arial"/>
          <w:noProof/>
          <w:sz w:val="20"/>
          <w:szCs w:val="20"/>
        </w:rPr>
        <w:t>i sur.</w:t>
      </w:r>
      <w:r w:rsidR="00171F8E" w:rsidRPr="00DF1F73">
        <w:rPr>
          <w:rFonts w:ascii="Arial" w:hAnsi="Arial" w:cs="Arial"/>
          <w:noProof/>
          <w:sz w:val="20"/>
          <w:szCs w:val="20"/>
        </w:rPr>
        <w:t>, 2007)</w:t>
      </w:r>
      <w:r w:rsidR="00C55C61" w:rsidRPr="00DF1F73">
        <w:rPr>
          <w:rFonts w:ascii="Arial" w:hAnsi="Arial" w:cs="Arial"/>
          <w:sz w:val="20"/>
          <w:szCs w:val="20"/>
        </w:rPr>
        <w:fldChar w:fldCharType="end"/>
      </w:r>
      <w:r w:rsidR="00C55C61" w:rsidRPr="00DF1F73">
        <w:rPr>
          <w:rFonts w:ascii="Arial" w:hAnsi="Arial" w:cs="Arial"/>
          <w:sz w:val="20"/>
          <w:szCs w:val="20"/>
        </w:rPr>
        <w:t>. Rezultati promjena pP70S6 kinaze, pULK1 i pERK govore u prilog nepromijenjenog metabolizma stanica</w:t>
      </w:r>
      <w:r w:rsidR="003D54DA" w:rsidRPr="00DF1F73">
        <w:rPr>
          <w:rFonts w:ascii="Arial" w:hAnsi="Arial" w:cs="Arial"/>
          <w:sz w:val="20"/>
          <w:szCs w:val="20"/>
        </w:rPr>
        <w:t xml:space="preserve"> </w:t>
      </w:r>
      <w:r w:rsidR="00B82811">
        <w:rPr>
          <w:rFonts w:ascii="Arial" w:hAnsi="Arial" w:cs="Arial"/>
          <w:sz w:val="20"/>
          <w:szCs w:val="20"/>
        </w:rPr>
        <w:t>(S</w:t>
      </w:r>
      <w:r w:rsidR="00333B42" w:rsidRPr="00DF1F73">
        <w:rPr>
          <w:rFonts w:ascii="Arial" w:hAnsi="Arial" w:cs="Arial"/>
          <w:sz w:val="20"/>
          <w:szCs w:val="20"/>
        </w:rPr>
        <w:t>lika</w:t>
      </w:r>
      <w:r w:rsidR="00B82811">
        <w:rPr>
          <w:rFonts w:ascii="Arial" w:hAnsi="Arial" w:cs="Arial"/>
          <w:sz w:val="20"/>
          <w:szCs w:val="20"/>
        </w:rPr>
        <w:t xml:space="preserve"> 7</w:t>
      </w:r>
      <w:r w:rsidR="00A67E72">
        <w:rPr>
          <w:rFonts w:ascii="Arial" w:hAnsi="Arial" w:cs="Arial"/>
          <w:sz w:val="20"/>
          <w:szCs w:val="20"/>
        </w:rPr>
        <w:t>.</w:t>
      </w:r>
      <w:r w:rsidR="00333B42" w:rsidRPr="00DF1F73">
        <w:rPr>
          <w:rFonts w:ascii="Arial" w:hAnsi="Arial" w:cs="Arial"/>
          <w:sz w:val="20"/>
          <w:szCs w:val="20"/>
        </w:rPr>
        <w:t>)</w:t>
      </w:r>
      <w:r w:rsidR="00C55C61" w:rsidRPr="00DF1F73">
        <w:rPr>
          <w:rFonts w:ascii="Arial" w:hAnsi="Arial" w:cs="Arial"/>
          <w:sz w:val="20"/>
          <w:szCs w:val="20"/>
        </w:rPr>
        <w:t>, ali u usporedbi s kasnije predstavljenim rezultatima modela akutne primjene peroralne i intraperitonealne galaktoze</w:t>
      </w:r>
      <w:r w:rsidR="00A67E72">
        <w:rPr>
          <w:rFonts w:ascii="Arial" w:hAnsi="Arial" w:cs="Arial"/>
          <w:sz w:val="20"/>
          <w:szCs w:val="20"/>
        </w:rPr>
        <w:t>,</w:t>
      </w:r>
      <w:r w:rsidR="00C55C61" w:rsidRPr="00DF1F73">
        <w:rPr>
          <w:rFonts w:ascii="Arial" w:hAnsi="Arial" w:cs="Arial"/>
          <w:sz w:val="20"/>
          <w:szCs w:val="20"/>
        </w:rPr>
        <w:t xml:space="preserve"> sugeriraju da razlike ipak postoje iako su očite tek u vrijeme aktivnog metaboličkog odgovora</w:t>
      </w:r>
      <w:r w:rsidR="00B82811">
        <w:rPr>
          <w:rFonts w:ascii="Arial" w:hAnsi="Arial" w:cs="Arial"/>
          <w:sz w:val="20"/>
          <w:szCs w:val="20"/>
        </w:rPr>
        <w:t xml:space="preserve"> (S</w:t>
      </w:r>
      <w:r w:rsidR="00333B42" w:rsidRPr="00DF1F73">
        <w:rPr>
          <w:rFonts w:ascii="Arial" w:hAnsi="Arial" w:cs="Arial"/>
          <w:sz w:val="20"/>
          <w:szCs w:val="20"/>
        </w:rPr>
        <w:t>lika</w:t>
      </w:r>
      <w:r w:rsidR="00B82811">
        <w:rPr>
          <w:rFonts w:ascii="Arial" w:hAnsi="Arial" w:cs="Arial"/>
          <w:sz w:val="20"/>
          <w:szCs w:val="20"/>
        </w:rPr>
        <w:t xml:space="preserve"> 10-12</w:t>
      </w:r>
      <w:r w:rsidR="00333B42" w:rsidRPr="00DF1F73">
        <w:rPr>
          <w:rFonts w:ascii="Arial" w:hAnsi="Arial" w:cs="Arial"/>
          <w:sz w:val="20"/>
          <w:szCs w:val="20"/>
        </w:rPr>
        <w:t>)</w:t>
      </w:r>
      <w:r w:rsidR="00C55C61" w:rsidRPr="00DF1F73">
        <w:rPr>
          <w:rFonts w:ascii="Arial" w:hAnsi="Arial" w:cs="Arial"/>
          <w:sz w:val="20"/>
          <w:szCs w:val="20"/>
        </w:rPr>
        <w:t>. Drugim r</w:t>
      </w:r>
      <w:r w:rsidR="00333B42" w:rsidRPr="00DF1F73">
        <w:rPr>
          <w:rFonts w:ascii="Arial" w:hAnsi="Arial" w:cs="Arial"/>
          <w:sz w:val="20"/>
          <w:szCs w:val="20"/>
        </w:rPr>
        <w:t xml:space="preserve">iječima, iako na prvi pogled STZ-icv tretirane životinje i kontrolne životinje ne pokazuju razlike u proteinima povezanim s autofagijom (pULK1) i mTOR sustavom (pP70S6K), funkcionalna metabolička rezerva DMNX očito je promijenjena. Rezultati analize promjena transportera za glukozu u stanicama DMNX dodatno učvršćuju hipotezu metaboličke disregulacije. Transport glukoze usko je povezan uz </w:t>
      </w:r>
      <w:r w:rsidR="00045E86" w:rsidRPr="00DF1F73">
        <w:rPr>
          <w:rFonts w:ascii="Arial" w:hAnsi="Arial" w:cs="Arial"/>
          <w:sz w:val="20"/>
          <w:szCs w:val="20"/>
        </w:rPr>
        <w:t>metaboličkim</w:t>
      </w:r>
      <w:r w:rsidR="00333B42" w:rsidRPr="00DF1F73">
        <w:rPr>
          <w:rFonts w:ascii="Arial" w:hAnsi="Arial" w:cs="Arial"/>
          <w:sz w:val="20"/>
          <w:szCs w:val="20"/>
        </w:rPr>
        <w:t xml:space="preserve"> stanje</w:t>
      </w:r>
      <w:r w:rsidR="00045E86" w:rsidRPr="00DF1F73">
        <w:rPr>
          <w:rFonts w:ascii="Arial" w:hAnsi="Arial" w:cs="Arial"/>
          <w:sz w:val="20"/>
          <w:szCs w:val="20"/>
        </w:rPr>
        <w:t>m</w:t>
      </w:r>
      <w:r w:rsidR="00333B42" w:rsidRPr="00DF1F73">
        <w:rPr>
          <w:rFonts w:ascii="Arial" w:hAnsi="Arial" w:cs="Arial"/>
          <w:sz w:val="20"/>
          <w:szCs w:val="20"/>
        </w:rPr>
        <w:t xml:space="preserve"> stanice</w:t>
      </w:r>
      <w:r w:rsidR="00780BB6" w:rsidRPr="00DF1F73">
        <w:rPr>
          <w:rFonts w:ascii="Arial" w:hAnsi="Arial" w:cs="Arial"/>
          <w:sz w:val="20"/>
          <w:szCs w:val="20"/>
        </w:rPr>
        <w:t>, a smanjenje GLUT3 u mozgu povezuje se s AD</w:t>
      </w:r>
      <w:r w:rsidR="00410389" w:rsidRPr="00DF1F73">
        <w:rPr>
          <w:rFonts w:ascii="Arial" w:hAnsi="Arial" w:cs="Arial"/>
          <w:sz w:val="20"/>
          <w:szCs w:val="20"/>
        </w:rPr>
        <w:t xml:space="preserve"> </w:t>
      </w:r>
      <w:r w:rsidR="00780BB6" w:rsidRPr="00DF1F73">
        <w:rPr>
          <w:rFonts w:ascii="Arial" w:hAnsi="Arial" w:cs="Arial"/>
          <w:sz w:val="20"/>
          <w:szCs w:val="20"/>
        </w:rPr>
        <w:fldChar w:fldCharType="begin" w:fldLock="1"/>
      </w:r>
      <w:r w:rsidR="00780BB6" w:rsidRPr="00DF1F73">
        <w:rPr>
          <w:rFonts w:ascii="Arial" w:hAnsi="Arial" w:cs="Arial"/>
          <w:sz w:val="20"/>
          <w:szCs w:val="20"/>
        </w:rPr>
        <w:instrText>ADDIN CSL_CITATION { "citationItems" : [ { "id" : "ITEM-1", "itemData" : { "DOI" : "10.1016/j.febslet.2007.12.035", "ISSN" : "0014-5793", "PMID" : "18174027", "abstract" : "Brain glucose uptake/metabolism is impaired in Alzheimer disease (AD). Here, we report that levels of the two major brain glucose transporters (GLUT1 and GLUT3) responsible for glucose uptake into neurons were decreased in AD brain. This decrease correlated to the decrease in O-GlcNAcylation, to the hyperphosphorylation of tau, and to the density of neurofibrillary tangles in human brains. We also found down-regulation of hypoxia-inducible factor 1, a major regulator of GLUT1 and GLUT3, in AD brain. These studies provide a possible mechanism by which GLUT1 and GLUT3 deficiency could cause impaired brain glucose uptake/metabolism and contribute to neurodegeneration via down-regulation of O-GlcNAcylation and hyperphosphorylation of tau in AD.", "author" : [ { "dropping-particle" : "", "family" : "Liu", "given" : "Ying", "non-dropping-particle" : "", "parse-names" : false, "suffix" : "" }, { "dropping-particle" : "", "family" : "Liu", "given" : "Fei", "non-dropping-particle" : "", "parse-names" : false, "suffix" : "" }, { "dropping-particle" : "", "family" : "Iqbal", "given" : "Khalid", "non-dropping-particle" : "", "parse-names" : false, "suffix" : "" }, { "dropping-particle" : "", "family" : "Grundke-Iqbal", "given" : "Inge", "non-dropping-particle" : "", "parse-names" : false, "suffix" : "" }, { "dropping-particle" : "", "family" : "Gong", "given" : "Cheng-Xin", "non-dropping-particle" : "", "parse-names" : false, "suffix" : "" } ], "container-title" : "FEBS letters", "id" : "ITEM-1", "issue" : "2", "issued" : { "date-parts" : [ [ "2008", "1", "23" ] ] }, "page" : "359-64", "publisher" : "NIH Public Access", "title" : "Decreased glucose transporters correlate to abnormal hyperphosphorylation of tau in Alzheimer disease.", "type" : "article-journal", "volume" : "582" }, "uris" : [ "http://www.mendeley.com/documents/?uuid=6ed6de7f-19cc-37fa-b92d-ba7322668b75" ] } ], "mendeley" : { "formattedCitation" : "(Liu, Liu, Iqbal, Grundke-Iqbal, &amp; Gong, 2008)", "plainTextFormattedCitation" : "(Liu, Liu, Iqbal, Grundke-Iqbal, &amp; Gong, 2008)", "previouslyFormattedCitation" : "(Liu, Liu, Iqbal, Grundke-Iqbal, &amp; Gong, 2008)" }, "properties" : {  }, "schema" : "https://github.com/citation-style-language/schema/raw/master/csl-citation.json" }</w:instrText>
      </w:r>
      <w:r w:rsidR="00780BB6" w:rsidRPr="00DF1F73">
        <w:rPr>
          <w:rFonts w:ascii="Arial" w:hAnsi="Arial" w:cs="Arial"/>
          <w:sz w:val="20"/>
          <w:szCs w:val="20"/>
        </w:rPr>
        <w:fldChar w:fldCharType="separate"/>
      </w:r>
      <w:r w:rsidR="00780BB6" w:rsidRPr="00DF1F73">
        <w:rPr>
          <w:rFonts w:ascii="Arial" w:hAnsi="Arial" w:cs="Arial"/>
          <w:noProof/>
          <w:sz w:val="20"/>
          <w:szCs w:val="20"/>
        </w:rPr>
        <w:t>(Liu</w:t>
      </w:r>
      <w:r w:rsidR="00F12B45" w:rsidRPr="00DF1F73">
        <w:rPr>
          <w:rFonts w:ascii="Arial" w:hAnsi="Arial" w:cs="Arial"/>
          <w:noProof/>
          <w:sz w:val="20"/>
          <w:szCs w:val="20"/>
        </w:rPr>
        <w:t xml:space="preserve"> i sur.</w:t>
      </w:r>
      <w:r w:rsidR="00780BB6" w:rsidRPr="00DF1F73">
        <w:rPr>
          <w:rFonts w:ascii="Arial" w:hAnsi="Arial" w:cs="Arial"/>
          <w:noProof/>
          <w:sz w:val="20"/>
          <w:szCs w:val="20"/>
        </w:rPr>
        <w:t>,</w:t>
      </w:r>
      <w:r w:rsidR="00F12B45" w:rsidRPr="00DF1F73">
        <w:rPr>
          <w:rFonts w:ascii="Arial" w:hAnsi="Arial" w:cs="Arial"/>
          <w:noProof/>
          <w:sz w:val="20"/>
          <w:szCs w:val="20"/>
        </w:rPr>
        <w:t xml:space="preserve"> </w:t>
      </w:r>
      <w:r w:rsidR="00780BB6" w:rsidRPr="00DF1F73">
        <w:rPr>
          <w:rFonts w:ascii="Arial" w:hAnsi="Arial" w:cs="Arial"/>
          <w:noProof/>
          <w:sz w:val="20"/>
          <w:szCs w:val="20"/>
        </w:rPr>
        <w:t>2008)</w:t>
      </w:r>
      <w:r w:rsidR="00780BB6" w:rsidRPr="00DF1F73">
        <w:rPr>
          <w:rFonts w:ascii="Arial" w:hAnsi="Arial" w:cs="Arial"/>
          <w:sz w:val="20"/>
          <w:szCs w:val="20"/>
        </w:rPr>
        <w:fldChar w:fldCharType="end"/>
      </w:r>
      <w:r w:rsidR="00780BB6" w:rsidRPr="00DF1F73">
        <w:rPr>
          <w:rFonts w:ascii="Arial" w:hAnsi="Arial" w:cs="Arial"/>
          <w:sz w:val="20"/>
          <w:szCs w:val="20"/>
        </w:rPr>
        <w:t xml:space="preserve">. Naši rezultati pokazuju da do smanjenja GLUT3 dolazi i u DMNX </w:t>
      </w:r>
      <w:r w:rsidR="00A67E72">
        <w:rPr>
          <w:rFonts w:ascii="Arial" w:hAnsi="Arial" w:cs="Arial"/>
          <w:sz w:val="20"/>
          <w:szCs w:val="20"/>
        </w:rPr>
        <w:t xml:space="preserve">dok je ekspresija </w:t>
      </w:r>
      <w:r w:rsidR="00780BB6" w:rsidRPr="00DF1F73">
        <w:rPr>
          <w:rFonts w:ascii="Arial" w:hAnsi="Arial" w:cs="Arial"/>
          <w:sz w:val="20"/>
          <w:szCs w:val="20"/>
        </w:rPr>
        <w:t xml:space="preserve">GLUT4 </w:t>
      </w:r>
      <w:r w:rsidR="00A67E72">
        <w:rPr>
          <w:rFonts w:ascii="Arial" w:hAnsi="Arial" w:cs="Arial"/>
          <w:sz w:val="20"/>
          <w:szCs w:val="20"/>
        </w:rPr>
        <w:t xml:space="preserve">povećana </w:t>
      </w:r>
      <w:r w:rsidR="00780BB6" w:rsidRPr="00DF1F73">
        <w:rPr>
          <w:rFonts w:ascii="Arial" w:hAnsi="Arial" w:cs="Arial"/>
          <w:sz w:val="20"/>
          <w:szCs w:val="20"/>
        </w:rPr>
        <w:t xml:space="preserve">što bi moglo predstavljati kompenzatornu reakciju stanica. </w:t>
      </w:r>
      <w:r w:rsidR="00410389" w:rsidRPr="00DF1F73">
        <w:rPr>
          <w:rFonts w:ascii="Arial" w:hAnsi="Arial" w:cs="Arial"/>
          <w:sz w:val="20"/>
          <w:szCs w:val="20"/>
        </w:rPr>
        <w:t xml:space="preserve">Promjena ekspresije GLUT4 </w:t>
      </w:r>
      <w:r w:rsidR="00FD0A2A" w:rsidRPr="00DF1F73">
        <w:rPr>
          <w:rFonts w:ascii="Arial" w:hAnsi="Arial" w:cs="Arial"/>
          <w:sz w:val="20"/>
          <w:szCs w:val="20"/>
        </w:rPr>
        <w:t xml:space="preserve">na stanicama DMNX vjerojatno za posljedicu ima </w:t>
      </w:r>
      <w:r w:rsidR="00A67E72">
        <w:rPr>
          <w:rFonts w:ascii="Arial" w:hAnsi="Arial" w:cs="Arial"/>
          <w:sz w:val="20"/>
          <w:szCs w:val="20"/>
        </w:rPr>
        <w:t>promjenu inzulinskog učinka</w:t>
      </w:r>
      <w:r w:rsidR="00410389" w:rsidRPr="00DF1F73">
        <w:rPr>
          <w:rFonts w:ascii="Arial" w:hAnsi="Arial" w:cs="Arial"/>
          <w:sz w:val="20"/>
          <w:szCs w:val="20"/>
        </w:rPr>
        <w:t xml:space="preserve"> s obzirom da literatura govori u prilog njihove recipročne regulacije u </w:t>
      </w:r>
      <w:r w:rsidR="00FD0A2A" w:rsidRPr="00DF1F73">
        <w:rPr>
          <w:rFonts w:ascii="Arial" w:hAnsi="Arial" w:cs="Arial"/>
          <w:sz w:val="20"/>
          <w:szCs w:val="20"/>
        </w:rPr>
        <w:t>ovim stanicama</w:t>
      </w:r>
      <w:r w:rsidR="00410389" w:rsidRPr="00DF1F73">
        <w:rPr>
          <w:rFonts w:ascii="Arial" w:hAnsi="Arial" w:cs="Arial"/>
          <w:sz w:val="20"/>
          <w:szCs w:val="20"/>
        </w:rPr>
        <w:t xml:space="preserve">. Naime, inhibitorni učinak inzulina na stanice DMNX moguće je spriječiti inhibicijom GLUT4 </w:t>
      </w:r>
      <w:r w:rsidR="00410389" w:rsidRPr="00DF1F73">
        <w:rPr>
          <w:rFonts w:ascii="Arial" w:hAnsi="Arial" w:cs="Arial"/>
          <w:sz w:val="20"/>
          <w:szCs w:val="20"/>
        </w:rPr>
        <w:fldChar w:fldCharType="begin" w:fldLock="1"/>
      </w:r>
      <w:r w:rsidR="00FD0A2A" w:rsidRPr="00DF1F73">
        <w:rPr>
          <w:rFonts w:ascii="Arial" w:hAnsi="Arial" w:cs="Arial"/>
          <w:sz w:val="20"/>
          <w:szCs w:val="20"/>
        </w:rPr>
        <w:instrText>ADDIN CSL_CITATION { "citationItems" : [ { "id" : "ITEM-1", "itemData" : { "DOI" : "10.1152/ajpregu.00138.2014", "PMID" : "24990858", "abstract" : "Pathologies in which insulin is dysregulated, including diabetes, can disrupt central vagal circuitry, leading to gastrointestinal and other autonomic dysfunction. Insulin affects whole body metabolism through central mechanisms and is transported into the brain stem dorsal motor nucleus of the vagus (DMV) and nucleus tractus solitarius (NTS), which mediate parasympathetic visceral regulation. The NTS receives viscerosensory vagal input and projects heavily to the DMV, which supplies parasympathetic vagal motor output. Normally, insulin inhibits synaptic excitation of DMV neurons, with no effect on synaptic inhibition. Modulation of synaptic inhibition in DMV, however, is often sensitive to cAMP-dependent mechanisms. We hypothesized that an effect of insulin on GABAergic synaptic transmission may be uncovered by elevating resting cAMP levels in GABAergic terminals. We used whole cell patch-clamp recordings in brain stem slices from control and diabetic mice to identify insulin effects on inhibitory neurotransmission in the DMV in the presence of forskolin to elevate cAMP levels. In the presence of forskolin, insulin decreased the frequency of inhibitory postsynaptic currents (IPSCs) and the paired-pulse ratio of evoked IPSCs in DMV neurons from control mice. This effect was blocked by brefeldin-A, a Golgi-disrupting agent, or indinavir, a GLUT4 blocker, indicating that protein trafficking and glucose transport were involved. In streptozotocin-treated, diabetic mice, insulin did not affect IPSCs in DMV neurons in the presence of forskolin. Results suggest an impairment of cAMP-induced insulin effects on GABA release in the DMV, which likely involves disrupted protein trafficking in diabetic mice. These findings provide insight into mechanisms underlying vagal dysregulation associated with diabetes.", "author" : [ { "dropping-particle" : "", "family" : "Blake", "given" : "Camille B", "non-dropping-particle" : "", "parse-names" : false, "suffix" : "" }, { "dropping-particle" : "", "family" : "Smith", "given" : "Bret N", "non-dropping-particle" : "", "parse-names" : false, "suffix" : "" } ], "container-title" : "American journal of physiology. Regulatory, integrative and comparative physiology", "id" : "ITEM-1", "issue" : "6", "issued" : { "date-parts" : [ [ "2014", "9", "15" ] ] }, "page" : "R711-20", "publisher" : "American Physiological Society", "title" : "cAMP-dependent insulin modulation of synaptic inhibition in neurons of the dorsal motor nucleus of the vagus is altered in diabetic mice.", "type" : "article-journal", "volume" : "307" }, "uris" : [ "http://www.mendeley.com/documents/?uuid=087f1d6d-c2db-33a0-9156-9fce5f523d52" ] } ], "mendeley" : { "formattedCitation" : "(Blake &amp; Smith, 2014)", "plainTextFormattedCitation" : "(Blake &amp; Smith, 2014)", "previouslyFormattedCitation" : "(Blake &amp; Smith, 2014)" }, "properties" : {  }, "schema" : "https://github.com/citation-style-language/schema/raw/master/csl-citation.json" }</w:instrText>
      </w:r>
      <w:r w:rsidR="00410389" w:rsidRPr="00DF1F73">
        <w:rPr>
          <w:rFonts w:ascii="Arial" w:hAnsi="Arial" w:cs="Arial"/>
          <w:sz w:val="20"/>
          <w:szCs w:val="20"/>
        </w:rPr>
        <w:fldChar w:fldCharType="separate"/>
      </w:r>
      <w:r w:rsidR="00410389" w:rsidRPr="00DF1F73">
        <w:rPr>
          <w:rFonts w:ascii="Arial" w:hAnsi="Arial" w:cs="Arial"/>
          <w:noProof/>
          <w:sz w:val="20"/>
          <w:szCs w:val="20"/>
        </w:rPr>
        <w:t xml:space="preserve">(Blake </w:t>
      </w:r>
      <w:r w:rsidR="00F12B45" w:rsidRPr="00DF1F73">
        <w:rPr>
          <w:rFonts w:ascii="Arial" w:hAnsi="Arial" w:cs="Arial"/>
          <w:noProof/>
          <w:sz w:val="20"/>
          <w:szCs w:val="20"/>
        </w:rPr>
        <w:t>i</w:t>
      </w:r>
      <w:r w:rsidR="00410389" w:rsidRPr="00DF1F73">
        <w:rPr>
          <w:rFonts w:ascii="Arial" w:hAnsi="Arial" w:cs="Arial"/>
          <w:noProof/>
          <w:sz w:val="20"/>
          <w:szCs w:val="20"/>
        </w:rPr>
        <w:t xml:space="preserve"> Smith, 2014)</w:t>
      </w:r>
      <w:r w:rsidR="00410389" w:rsidRPr="00DF1F73">
        <w:rPr>
          <w:rFonts w:ascii="Arial" w:hAnsi="Arial" w:cs="Arial"/>
          <w:sz w:val="20"/>
          <w:szCs w:val="20"/>
        </w:rPr>
        <w:fldChar w:fldCharType="end"/>
      </w:r>
      <w:r w:rsidR="00410389" w:rsidRPr="00DF1F73">
        <w:rPr>
          <w:rFonts w:ascii="Arial" w:hAnsi="Arial" w:cs="Arial"/>
          <w:sz w:val="20"/>
          <w:szCs w:val="20"/>
        </w:rPr>
        <w:t>.</w:t>
      </w:r>
      <w:r w:rsidR="00FD0A2A" w:rsidRPr="00DF1F73">
        <w:rPr>
          <w:rFonts w:ascii="Arial" w:hAnsi="Arial" w:cs="Arial"/>
          <w:sz w:val="20"/>
          <w:szCs w:val="20"/>
        </w:rPr>
        <w:t xml:space="preserve"> S obzirom na ranije spomenutu ulogu inzulinske signalizacije u DVC, promjena trans</w:t>
      </w:r>
      <w:r w:rsidR="00A67E72">
        <w:rPr>
          <w:rFonts w:ascii="Arial" w:hAnsi="Arial" w:cs="Arial"/>
          <w:sz w:val="20"/>
          <w:szCs w:val="20"/>
        </w:rPr>
        <w:t xml:space="preserve">portera za glukozu mogla bi za </w:t>
      </w:r>
      <w:r w:rsidR="00FD0A2A" w:rsidRPr="00DF1F73">
        <w:rPr>
          <w:rFonts w:ascii="Arial" w:hAnsi="Arial" w:cs="Arial"/>
          <w:sz w:val="20"/>
          <w:szCs w:val="20"/>
        </w:rPr>
        <w:t>posljedicu imati promjene regulacije metabolizma, energetskog statusa i unosa hrane</w:t>
      </w:r>
      <w:r w:rsidR="00F12B45" w:rsidRPr="00DF1F73">
        <w:rPr>
          <w:rFonts w:ascii="Arial" w:hAnsi="Arial" w:cs="Arial"/>
          <w:sz w:val="20"/>
          <w:szCs w:val="20"/>
        </w:rPr>
        <w:t xml:space="preserve"> </w:t>
      </w:r>
      <w:r w:rsidR="00FD0A2A" w:rsidRPr="00DF1F73">
        <w:rPr>
          <w:rFonts w:ascii="Arial" w:hAnsi="Arial" w:cs="Arial"/>
          <w:sz w:val="20"/>
          <w:szCs w:val="20"/>
        </w:rPr>
        <w:fldChar w:fldCharType="begin" w:fldLock="1"/>
      </w:r>
      <w:r w:rsidR="00FD0A2A" w:rsidRPr="00DF1F73">
        <w:rPr>
          <w:rFonts w:ascii="Arial" w:hAnsi="Arial" w:cs="Arial"/>
          <w:sz w:val="20"/>
          <w:szCs w:val="20"/>
        </w:rPr>
        <w:instrText>ADDIN CSL_CITATION { "citationItems" : [ { "id" : "ITEM-1", "itemData" : { "DOI" : "10.2337/db13-1044", "ISSN" : "0012-1797", "PMID" : "24270985", "abstract" : "Insulin signaling in the hypothalamus regulates food intake and hepatic glucose production in rodents. Although it is known that insulin also activates insulin receptor in the dorsal vagal complex (DVC) to lower glucose production through an extracellular signal-related kinase 1/2 (Erk1/2)-dependent and phosphatidylinositol 3-kinase (PI3K)-independent pathway, it is unknown whether DVC insulin action regulates food intake. We report here that a single acute infusion of insulin into the DVC decreased food intake in healthy male rats. Chemical and molecular inhibition of Erk1/2 signaling in the DVC negated the acute anorectic effect of insulin in healthy rats, while DVC insulin acute infusion failed to lower food intake in high fat-fed rats. Finally, molecular disruption of Erk1/2 signaling in the DVC of healthy rats per se increased food intake and induced obesity over a period of 2 weeks, whereas a daily repeated acute DVC insulin infusion for 12 days conversely decreased food intake and body weight in healthy rats. In summary, insulin activates Erk1/2 signaling in the DVC to regulate energy balance.", "author" : [ { "dropping-particle" : "", "family" : "Filippi", "given" : "B. M.", "non-dropping-particle" : "", "parse-names" : false, "suffix" : "" }, { "dropping-particle" : "", "family" : "Bassiri", "given" : "A.", "non-dropping-particle" : "", "parse-names" : false, "suffix" : "" }, { "dropping-particle" : "", "family" : "Abraham", "given" : "M. A.", "non-dropping-particle" : "", "parse-names" : false, "suffix" : "" }, { "dropping-particle" : "", "family" : "Duca", "given" : "F. A.", "non-dropping-particle" : "", "parse-names" : false, "suffix" : "" }, { "dropping-particle" : "", "family" : "Yue", "given" : "J. T. Y.", "non-dropping-particle" : "", "parse-names" : false, "suffix" : "" }, { "dropping-particle" : "", "family" : "Lam", "given" : "T. K. T.", "non-dropping-particle" : "", "parse-names" : false, "suffix" : "" } ], "container-title" : "Diabetes", "id" : "ITEM-1", "issue" : "3", "issued" : { "date-parts" : [ [ "2014", "3", "1" ] ] }, "page" : "892-899", "title" : "Insulin Signals Through the Dorsal Vagal Complex to Regulate Energy Balance", "type" : "article-journal", "volume" : "63" }, "uris" : [ "http://www.mendeley.com/documents/?uuid=1b67fbb6-08e9-3992-85d2-cd24eda9fd87" ] } ], "mendeley" : { "formattedCitation" : "(Filippi et al., 2014)", "plainTextFormattedCitation" : "(Filippi et al., 2014)", "previouslyFormattedCitation" : "(Filippi et al., 2014)" }, "properties" : {  }, "schema" : "https://github.com/citation-style-language/schema/raw/master/csl-citation.json" }</w:instrText>
      </w:r>
      <w:r w:rsidR="00FD0A2A" w:rsidRPr="00DF1F73">
        <w:rPr>
          <w:rFonts w:ascii="Arial" w:hAnsi="Arial" w:cs="Arial"/>
          <w:sz w:val="20"/>
          <w:szCs w:val="20"/>
        </w:rPr>
        <w:fldChar w:fldCharType="separate"/>
      </w:r>
      <w:r w:rsidR="00FD0A2A" w:rsidRPr="00DF1F73">
        <w:rPr>
          <w:rFonts w:ascii="Arial" w:hAnsi="Arial" w:cs="Arial"/>
          <w:noProof/>
          <w:sz w:val="20"/>
          <w:szCs w:val="20"/>
        </w:rPr>
        <w:t xml:space="preserve">(Filippi </w:t>
      </w:r>
      <w:r w:rsidR="00F12B45" w:rsidRPr="00DF1F73">
        <w:rPr>
          <w:rFonts w:ascii="Arial" w:hAnsi="Arial" w:cs="Arial"/>
          <w:noProof/>
          <w:sz w:val="20"/>
          <w:szCs w:val="20"/>
        </w:rPr>
        <w:t>i sur</w:t>
      </w:r>
      <w:r w:rsidR="00FD0A2A" w:rsidRPr="00DF1F73">
        <w:rPr>
          <w:rFonts w:ascii="Arial" w:hAnsi="Arial" w:cs="Arial"/>
          <w:noProof/>
          <w:sz w:val="20"/>
          <w:szCs w:val="20"/>
        </w:rPr>
        <w:t>., 2014)</w:t>
      </w:r>
      <w:r w:rsidR="00FD0A2A" w:rsidRPr="00DF1F73">
        <w:rPr>
          <w:rFonts w:ascii="Arial" w:hAnsi="Arial" w:cs="Arial"/>
          <w:sz w:val="20"/>
          <w:szCs w:val="20"/>
        </w:rPr>
        <w:fldChar w:fldCharType="end"/>
      </w:r>
      <w:r w:rsidR="00FD0A2A" w:rsidRPr="00DF1F73">
        <w:rPr>
          <w:rFonts w:ascii="Arial" w:hAnsi="Arial" w:cs="Arial"/>
          <w:sz w:val="20"/>
          <w:szCs w:val="20"/>
        </w:rPr>
        <w:t>.</w:t>
      </w:r>
      <w:r w:rsidR="00410389" w:rsidRPr="00DF1F73">
        <w:rPr>
          <w:rFonts w:ascii="Arial" w:hAnsi="Arial" w:cs="Arial"/>
          <w:sz w:val="20"/>
          <w:szCs w:val="20"/>
        </w:rPr>
        <w:t xml:space="preserve"> </w:t>
      </w:r>
      <w:r w:rsidR="00FD0A2A" w:rsidRPr="00DF1F73">
        <w:rPr>
          <w:rFonts w:ascii="Arial" w:hAnsi="Arial" w:cs="Arial"/>
          <w:sz w:val="20"/>
          <w:szCs w:val="20"/>
        </w:rPr>
        <w:t xml:space="preserve">Povećanje </w:t>
      </w:r>
      <w:r w:rsidR="00410389" w:rsidRPr="00DF1F73">
        <w:rPr>
          <w:rFonts w:ascii="Arial" w:hAnsi="Arial" w:cs="Arial"/>
          <w:sz w:val="20"/>
          <w:szCs w:val="20"/>
        </w:rPr>
        <w:t xml:space="preserve">oksidativnog stresa u moždanom deblu štakorskog modela sAD </w:t>
      </w:r>
      <w:r w:rsidR="00FD0A2A" w:rsidRPr="00DF1F73">
        <w:rPr>
          <w:rFonts w:ascii="Arial" w:hAnsi="Arial" w:cs="Arial"/>
          <w:sz w:val="20"/>
          <w:szCs w:val="20"/>
        </w:rPr>
        <w:t xml:space="preserve">daje dodatnu snagu </w:t>
      </w:r>
      <w:r w:rsidR="00A67E72">
        <w:rPr>
          <w:rFonts w:ascii="Arial" w:hAnsi="Arial" w:cs="Arial"/>
          <w:sz w:val="20"/>
          <w:szCs w:val="20"/>
        </w:rPr>
        <w:t xml:space="preserve">hipotezi da je </w:t>
      </w:r>
      <w:r w:rsidR="00410389" w:rsidRPr="00DF1F73">
        <w:rPr>
          <w:rFonts w:ascii="Arial" w:hAnsi="Arial" w:cs="Arial"/>
          <w:sz w:val="20"/>
          <w:szCs w:val="20"/>
        </w:rPr>
        <w:t>moždano deblo</w:t>
      </w:r>
      <w:r w:rsidR="00410389">
        <w:rPr>
          <w:rFonts w:ascii="Arial" w:hAnsi="Arial" w:cs="Arial"/>
          <w:sz w:val="20"/>
          <w:szCs w:val="20"/>
        </w:rPr>
        <w:t xml:space="preserve"> uključeno u patogenezu sAD. Međutim, zbog korištenih metoda u kojima je bilo moguće ispitati samo parametre oksidativnog stresa na lizatu cijelog moždanog debla, </w:t>
      </w:r>
      <w:r w:rsidR="00A67E72">
        <w:rPr>
          <w:rFonts w:ascii="Arial" w:hAnsi="Arial" w:cs="Arial"/>
          <w:sz w:val="20"/>
          <w:szCs w:val="20"/>
        </w:rPr>
        <w:t xml:space="preserve">nemoguće je razumjeti primarnu lokalizaciju </w:t>
      </w:r>
      <w:r w:rsidR="00A67E72">
        <w:rPr>
          <w:rFonts w:ascii="Arial" w:hAnsi="Arial" w:cs="Arial"/>
          <w:sz w:val="20"/>
          <w:szCs w:val="20"/>
        </w:rPr>
        <w:lastRenderedPageBreak/>
        <w:t>oksidativnih promjena</w:t>
      </w:r>
      <w:r w:rsidR="00410389">
        <w:rPr>
          <w:rFonts w:ascii="Arial" w:hAnsi="Arial" w:cs="Arial"/>
          <w:sz w:val="20"/>
          <w:szCs w:val="20"/>
        </w:rPr>
        <w:t xml:space="preserve"> iako</w:t>
      </w:r>
      <w:r w:rsidR="00722AAF">
        <w:rPr>
          <w:rFonts w:ascii="Arial" w:hAnsi="Arial" w:cs="Arial"/>
          <w:sz w:val="20"/>
          <w:szCs w:val="20"/>
        </w:rPr>
        <w:t xml:space="preserve"> smatramo da bi ovakva analiza dala vrijedne informacije i planiramo ju provesti u nastavku istraživanja patoloških promjena u moždanom deblu</w:t>
      </w:r>
      <w:r w:rsidR="00A67E72">
        <w:rPr>
          <w:rFonts w:ascii="Arial" w:hAnsi="Arial" w:cs="Arial"/>
          <w:sz w:val="20"/>
          <w:szCs w:val="20"/>
        </w:rPr>
        <w:t xml:space="preserve"> sAD</w:t>
      </w:r>
      <w:r w:rsidR="00722AAF">
        <w:rPr>
          <w:rFonts w:ascii="Arial" w:hAnsi="Arial" w:cs="Arial"/>
          <w:sz w:val="20"/>
          <w:szCs w:val="20"/>
        </w:rPr>
        <w:t xml:space="preserve">. Analiza metaboličkog odgovora DMNX na akutnu primjenu peroralne i intraperitonealne D-galaktoze bila je provedena zbog očitih razlika u metabolizmu stanica nakon STZ-icv. Dobiveni rezultati intrigantni su i teško objašnjivi u kontekstu postojećeg znanja </w:t>
      </w:r>
      <w:r w:rsidR="00FD0A2A">
        <w:rPr>
          <w:rFonts w:ascii="Arial" w:hAnsi="Arial" w:cs="Arial"/>
          <w:sz w:val="20"/>
          <w:szCs w:val="20"/>
        </w:rPr>
        <w:t>u ovo</w:t>
      </w:r>
      <w:r w:rsidR="00A67E72">
        <w:rPr>
          <w:rFonts w:ascii="Arial" w:hAnsi="Arial" w:cs="Arial"/>
          <w:sz w:val="20"/>
          <w:szCs w:val="20"/>
        </w:rPr>
        <w:t>m još neistraženom području štočini</w:t>
      </w:r>
      <w:r w:rsidR="00722AAF">
        <w:rPr>
          <w:rFonts w:ascii="Arial" w:hAnsi="Arial" w:cs="Arial"/>
          <w:sz w:val="20"/>
          <w:szCs w:val="20"/>
        </w:rPr>
        <w:t xml:space="preserve"> dodatnu vrijednost ovog rada.</w:t>
      </w:r>
      <w:r w:rsidR="00045E86">
        <w:rPr>
          <w:rFonts w:ascii="Arial" w:hAnsi="Arial" w:cs="Arial"/>
          <w:sz w:val="20"/>
          <w:szCs w:val="20"/>
        </w:rPr>
        <w:t xml:space="preserve"> P</w:t>
      </w:r>
      <w:r w:rsidR="00045E86" w:rsidRPr="00493FCD">
        <w:rPr>
          <w:rFonts w:ascii="Arial" w:hAnsi="Arial" w:cs="Arial"/>
          <w:sz w:val="20"/>
          <w:szCs w:val="20"/>
        </w:rPr>
        <w:t xml:space="preserve">eroralna administracija D-galaktoze smanjuje kognitivni deficit u štakorskom modelu sAD </w:t>
      </w:r>
      <w:r w:rsidR="00045E86" w:rsidRPr="00DF1F73">
        <w:rPr>
          <w:rFonts w:ascii="Arial" w:hAnsi="Arial" w:cs="Arial"/>
          <w:sz w:val="20"/>
          <w:szCs w:val="20"/>
        </w:rPr>
        <w:fldChar w:fldCharType="begin" w:fldLock="1"/>
      </w:r>
      <w:r w:rsidR="00045E86" w:rsidRPr="00DF1F73">
        <w:rPr>
          <w:rFonts w:ascii="Arial" w:hAnsi="Arial" w:cs="Arial"/>
          <w:sz w:val="20"/>
          <w:szCs w:val="20"/>
        </w:rPr>
        <w:instrText>ADDIN CSL_CITATION { "citationItems" : [ { "id" : "ITEM-1", "itemData" : { "DOI" : "10.1016/j.neuropharm.2018.02.027", "ISSN" : "00283908", "abstract" : "Insulin resistance and metabolic dysfunction in the brain are considered to be the pathophysiological core of sporadic Alzheimer's disease (sAD). In line with that fact, nutrients that could have therapeutic effects at this level have been investigated as possible targets in AD therapy. Galactose, an epimer of glucose, may serve as an alternative source of energy, and given orally may stimulate secretion of the incretin hormone glucagon-like peptide-1 (GLP-1). Our preliminary research indicated that oral galactose might prevent development of memory impairment in a rat model of sAD generated by intracerebroventricular administration of streptozotocin (STZ-icv). Here, we explored whether chronic oral galactose treatment could have beneficial effects on cognitive deficits already manifested at the time of initiation of galactose treatment in adult STZ-icv rats (treatment initiated 1 month after STZ-icv injection). The results clearly show that a 2-month exposure to oral galactose (200\u202fmg/kg/day administered in a drink ad libitum) normalises impaired learning and memory functions. Memory improvement was accompanied by an improvement in brain glucose hypometabolism measured by 18fluorodeoxyglucose-positron emission tomography neuroimaging and by increments in active GLP-1 plasma levels as well as by an increased expression of GLP-1 receptors in the hippocampus and hypothalamus. Our findings provide strong evidence of beneficial effects of oral galactose treatment in the STZ-icv rat model of sAD and present possible underlying mechanisms including both direct effects of galactose within the brain and indirect GLP-1-induced neuroprotective effects that might open a new, dietary-based strategy in sAD treatment.", "author" : [ { "dropping-particle" : "", "family" : "Knezovic", "given" : "Ana", "non-dropping-particle" : "", "parse-names" : false, "suffix" : "" }, { "dropping-particle" : "", "family" : "Barilar", "given" : "Jelena Osmanovic", "non-dropping-particle" : "", "parse-names" : false, "suffix" : "" }, { "dropping-particle" : "", "family" : "Babic", "given" : "Ana", "non-dropping-particle" : "", "parse-names" : false, "suffix" : "" }, { "dropping-particle" : "", "family" : "Bagaric", "given" : "Robert", "non-dropping-particle" : "", "parse-names" : false, "suffix" : "" }, { "dropping-particle" : "", "family" : "Farkas", "given" : "Vladimir", "non-dropping-particle" : "", "parse-names" : false, "suffix" : "" }, { "dropping-particle" : "", "family" : "Riederer", "given" : "Peter", "non-dropping-particle" : "", "parse-names" : false, "suffix" : "" }, { "dropping-particle" : "", "family" : "Salkovic-Petrisic", "given" : "Melita", "non-dropping-particle" : "", "parse-names" : false, "suffix" : "" } ], "container-title" : "Neuropharmacology", "id" : "ITEM-1", "issued" : { "date-parts" : [ [ "2018", "2" ] ] }, "title" : "Glucagon-like peptide-1 mediates effects of oral galactose in streptozotocin-induced rat model of sporadic Alzheimer\u2019s disease", "type" : "article-journal" }, "uris" : [ "http://www.mendeley.com/documents/?uuid=07ff2f8f-2fa6-30aa-a996-fb8480e14690" ] }, { "id" : "ITEM-2", "itemData" : { "DOI" : "10.1016/j.neuropharm.2013.09.002", "ISSN" : "00283908", "PMID" : "24055495", "abstract" : "Basic and clinical research has demonstrated that dementia of sporadic Alzheimer's disease (sAD) type is associated with dysfunction of the insulin-receptor (IR) system followed by decreased glucose transport via glucose transporter GLUT4 and decreased glucose metabolism in brain cells. An alternative source of energy is d-galactose (the C-4-epimer of d-glucose) which is transported into the brain by insulin-independent GLUT3 transporter where it might be metabolized to glucose via the Leloir pathway. Exclusively parenteral daily injections of galactose induce memory deterioration in rodents and are used to generate animal aging model, but the effects of oral galactose treatment on cognitive functions have never been tested. We have investigated the effects of continuous daily oral galactose (200 mg/kg/day) treatment on cognitive deficits in streptozotocin-induced (STZ-icv) rat model of sAD, tested by Morris Water Maze and Passive Avoidance test, respectively. One month of oral galactose treatment initiated immediately after the STZ-icv administration, successfully prevented development of the STZ-icv-induced cognitive deficits. Beneficial effect of oral galactose was independent of the rat age and of the galactose dose ranging from 100 to 300 mg/kg/day. Additionally, oral galactose administration led to the appearance of galactose in the blood. The increase of galactose concentration in the cerebrospinal fluid was several times lower after oral than after parenteral administration of the same galactose dose. Oral galactose exposure might have beneficial effects on learning and memory ability and could be worth investigating for improvement of cognitive deficits associated with glucose hypometabolism in AD.", "author" : [ { "dropping-particle" : "", "family" : "Salkovic-Petrisic", "given" : "Melita", "non-dropping-particle" : "", "parse-names" : false, "suffix" : "" }, { "dropping-particle" : "", "family" : "Osmanovic-Barilar", "given" : "Jelena", "non-dropping-particle" : "", "parse-names" : false, "suffix" : "" }, { "dropping-particle" : "", "family" : "Knezovic", "given" : "Ana", "non-dropping-particle" : "", "parse-names" : false, "suffix" : "" }, { "dropping-particle" : "", "family" : "Hoyer", "given" : "Siegfried", "non-dropping-particle" : "", "parse-names" : false, "suffix" : "" }, { "dropping-particle" : "", "family" : "Mosetter", "given" : "Kurt", "non-dropping-particle" : "", "parse-names" : false, "suffix" : "" }, { "dropping-particle" : "", "family" : "Reutter", "given" : "Werner", "non-dropping-particle" : "", "parse-names" : false, "suffix" : "" } ], "container-title" : "Neuropharmacology", "id" : "ITEM-2", "issued" : { "date-parts" : [ [ "2014", "2" ] ] }, "page" : "68-80", "title" : "Long-term oral galactose treatment prevents cognitive deficits in male Wistar rats treated intracerebroventricularly with streptozotocin", "type" : "article-journal", "volume" : "77" }, "uris" : [ "http://www.mendeley.com/documents/?uuid=6cd6b610-1461-35c8-aa77-1db6aa2243ff" ] } ], "mendeley" : { "formattedCitation" : "(Ana Knezovic et al., 2018; Salkovic-Petrisic et al., 2014)", "plainTextFormattedCitation" : "(Ana Knezovic et al., 2018; Salkovic-Petrisic et al., 2014)", "previouslyFormattedCitation" : "(Ana Knezovic et al., 2018; Salkovic-Petrisic et al., 2014)" }, "properties" : {  }, "schema" : "https://github.com/citation-style-language/schema/raw/master/csl-citation.json" }</w:instrText>
      </w:r>
      <w:r w:rsidR="00045E86" w:rsidRPr="00DF1F73">
        <w:rPr>
          <w:rFonts w:ascii="Arial" w:hAnsi="Arial" w:cs="Arial"/>
          <w:sz w:val="20"/>
          <w:szCs w:val="20"/>
        </w:rPr>
        <w:fldChar w:fldCharType="separate"/>
      </w:r>
      <w:r w:rsidR="00F12B45" w:rsidRPr="00DF1F73">
        <w:rPr>
          <w:rFonts w:ascii="Arial" w:hAnsi="Arial" w:cs="Arial"/>
          <w:noProof/>
          <w:sz w:val="20"/>
          <w:szCs w:val="20"/>
        </w:rPr>
        <w:t>(</w:t>
      </w:r>
      <w:r w:rsidR="00A67E72">
        <w:rPr>
          <w:rFonts w:ascii="Arial" w:hAnsi="Arial" w:cs="Arial"/>
          <w:noProof/>
          <w:sz w:val="20"/>
          <w:szCs w:val="20"/>
        </w:rPr>
        <w:t>Knezović</w:t>
      </w:r>
      <w:r w:rsidR="00045E86" w:rsidRPr="00DF1F73">
        <w:rPr>
          <w:rFonts w:ascii="Arial" w:hAnsi="Arial" w:cs="Arial"/>
          <w:noProof/>
          <w:sz w:val="20"/>
          <w:szCs w:val="20"/>
        </w:rPr>
        <w:t xml:space="preserve"> </w:t>
      </w:r>
      <w:r w:rsidR="00F12B45" w:rsidRPr="00DF1F73">
        <w:rPr>
          <w:rFonts w:ascii="Arial" w:hAnsi="Arial" w:cs="Arial"/>
          <w:noProof/>
          <w:sz w:val="20"/>
          <w:szCs w:val="20"/>
        </w:rPr>
        <w:t>i sur</w:t>
      </w:r>
      <w:r w:rsidR="00045E86" w:rsidRPr="00DF1F73">
        <w:rPr>
          <w:rFonts w:ascii="Arial" w:hAnsi="Arial" w:cs="Arial"/>
          <w:noProof/>
          <w:sz w:val="20"/>
          <w:szCs w:val="20"/>
        </w:rPr>
        <w:t>., 2</w:t>
      </w:r>
      <w:r w:rsidR="00A67E72">
        <w:rPr>
          <w:rFonts w:ascii="Arial" w:hAnsi="Arial" w:cs="Arial"/>
          <w:noProof/>
          <w:sz w:val="20"/>
          <w:szCs w:val="20"/>
        </w:rPr>
        <w:t>018; Šalković-Petrišić</w:t>
      </w:r>
      <w:r w:rsidR="00045E86" w:rsidRPr="00DF1F73">
        <w:rPr>
          <w:rFonts w:ascii="Arial" w:hAnsi="Arial" w:cs="Arial"/>
          <w:noProof/>
          <w:sz w:val="20"/>
          <w:szCs w:val="20"/>
        </w:rPr>
        <w:t xml:space="preserve"> </w:t>
      </w:r>
      <w:r w:rsidR="00F12B45" w:rsidRPr="00DF1F73">
        <w:rPr>
          <w:rFonts w:ascii="Arial" w:hAnsi="Arial" w:cs="Arial"/>
          <w:noProof/>
          <w:sz w:val="20"/>
          <w:szCs w:val="20"/>
        </w:rPr>
        <w:t>i sur</w:t>
      </w:r>
      <w:r w:rsidR="00045E86" w:rsidRPr="00DF1F73">
        <w:rPr>
          <w:rFonts w:ascii="Arial" w:hAnsi="Arial" w:cs="Arial"/>
          <w:noProof/>
          <w:sz w:val="20"/>
          <w:szCs w:val="20"/>
        </w:rPr>
        <w:t>., 2014)</w:t>
      </w:r>
      <w:r w:rsidR="00045E86" w:rsidRPr="00DF1F73">
        <w:rPr>
          <w:rFonts w:ascii="Arial" w:hAnsi="Arial" w:cs="Arial"/>
          <w:sz w:val="20"/>
          <w:szCs w:val="20"/>
        </w:rPr>
        <w:fldChar w:fldCharType="end"/>
      </w:r>
      <w:r w:rsidR="00045E86" w:rsidRPr="00DF1F73">
        <w:rPr>
          <w:rFonts w:ascii="Arial" w:hAnsi="Arial" w:cs="Arial"/>
          <w:sz w:val="20"/>
          <w:szCs w:val="20"/>
        </w:rPr>
        <w:t xml:space="preserve">, a kronična parenteralna administracija D-galaktoze koristi se u istraživanjima na životinjama kao model ubrzanog starenja </w:t>
      </w:r>
      <w:r w:rsidR="00045E86" w:rsidRPr="00DF1F73">
        <w:rPr>
          <w:rFonts w:ascii="Arial" w:hAnsi="Arial" w:cs="Arial"/>
          <w:sz w:val="20"/>
          <w:szCs w:val="20"/>
        </w:rPr>
        <w:fldChar w:fldCharType="begin" w:fldLock="1"/>
      </w:r>
      <w:r w:rsidR="00FD0A2A" w:rsidRPr="00DF1F73">
        <w:rPr>
          <w:rFonts w:ascii="Arial" w:hAnsi="Arial" w:cs="Arial"/>
          <w:sz w:val="20"/>
          <w:szCs w:val="20"/>
        </w:rPr>
        <w:instrText>ADDIN CSL_CITATION { "citationItems" : [ { "id" : "ITEM-1", "itemData" : { "DOI" : "10.1023/A:1022417102206", "ISSN" : "13895729", "author" : [ { "dropping-particle" : "", "family" : "Ho", "given" : "Shih-Ching", "non-dropping-particle" : "", "parse-names" : false, "suffix" : "" }, { "dropping-particle" : "", "family" : "Liu", "given" : "Jue-Hao", "non-dropping-particle" : "", "parse-names" : false, "suffix" : "" }, { "dropping-particle" : "", "family" : "Wu", "given" : "ReY-Yih", "non-dropping-particle" : "", "parse-names" : false, "suffix" : "" } ], "container-title" : "Biogerontology", "id" : "ITEM-1", "issue" : "1", "issued" : { "date-parts" : [ [ "2003" ] ] }, "page" : "15-18", "publisher" : "Kluwer Academic Publishers", "title" : "Establishment of the mimetic aging effect in mice caused by D-galactose", "type" : "article-journal", "volume" : "4" }, "uris" : [ "http://www.mendeley.com/documents/?uuid=0bfed3c9-2212-360d-98e7-2395c471a03e" ] } ], "mendeley" : { "formattedCitation" : "(Ho et al., 2003)", "plainTextFormattedCitation" : "(Ho et al., 2003)", "previouslyFormattedCitation" : "(Ho et al., 2003)" }, "properties" : {  }, "schema" : "https://github.com/citation-style-language/schema/raw/master/csl-citation.json" }</w:instrText>
      </w:r>
      <w:r w:rsidR="00045E86" w:rsidRPr="00DF1F73">
        <w:rPr>
          <w:rFonts w:ascii="Arial" w:hAnsi="Arial" w:cs="Arial"/>
          <w:sz w:val="20"/>
          <w:szCs w:val="20"/>
        </w:rPr>
        <w:fldChar w:fldCharType="separate"/>
      </w:r>
      <w:r w:rsidR="00FD0A2A" w:rsidRPr="00DF1F73">
        <w:rPr>
          <w:rFonts w:ascii="Arial" w:hAnsi="Arial" w:cs="Arial"/>
          <w:noProof/>
          <w:sz w:val="20"/>
          <w:szCs w:val="20"/>
        </w:rPr>
        <w:t xml:space="preserve">(Ho </w:t>
      </w:r>
      <w:r w:rsidR="00F12B45" w:rsidRPr="00DF1F73">
        <w:rPr>
          <w:rFonts w:ascii="Arial" w:hAnsi="Arial" w:cs="Arial"/>
          <w:noProof/>
          <w:sz w:val="20"/>
          <w:szCs w:val="20"/>
        </w:rPr>
        <w:t>i sur</w:t>
      </w:r>
      <w:r w:rsidR="00FD0A2A" w:rsidRPr="00DF1F73">
        <w:rPr>
          <w:rFonts w:ascii="Arial" w:hAnsi="Arial" w:cs="Arial"/>
          <w:noProof/>
          <w:sz w:val="20"/>
          <w:szCs w:val="20"/>
        </w:rPr>
        <w:t>., 2003)</w:t>
      </w:r>
      <w:r w:rsidR="00045E86" w:rsidRPr="00DF1F73">
        <w:rPr>
          <w:rFonts w:ascii="Arial" w:hAnsi="Arial" w:cs="Arial"/>
          <w:sz w:val="20"/>
          <w:szCs w:val="20"/>
        </w:rPr>
        <w:fldChar w:fldCharType="end"/>
      </w:r>
      <w:r w:rsidR="00045E86" w:rsidRPr="00DF1F73">
        <w:rPr>
          <w:rFonts w:ascii="Arial" w:hAnsi="Arial" w:cs="Arial"/>
          <w:sz w:val="20"/>
          <w:szCs w:val="20"/>
        </w:rPr>
        <w:t>. Naše istraživanje po prvi put pokazuje da je metabolički odgovor u moždanom deblu kontrolnih i STZ-icv životinja potpuno različit, te da uvelike ovisi o n</w:t>
      </w:r>
      <w:r w:rsidR="00FD0A2A" w:rsidRPr="00DF1F73">
        <w:rPr>
          <w:rFonts w:ascii="Arial" w:hAnsi="Arial" w:cs="Arial"/>
          <w:sz w:val="20"/>
          <w:szCs w:val="20"/>
        </w:rPr>
        <w:t>ačinu administracije galaktoze što je osim n</w:t>
      </w:r>
      <w:r w:rsidR="00B82811">
        <w:rPr>
          <w:rFonts w:ascii="Arial" w:hAnsi="Arial" w:cs="Arial"/>
          <w:sz w:val="20"/>
          <w:szCs w:val="20"/>
        </w:rPr>
        <w:t>a metaboličkim promjenama (Slike 10-12, 14, 15</w:t>
      </w:r>
      <w:r w:rsidR="00FD0A2A" w:rsidRPr="00DF1F73">
        <w:rPr>
          <w:rFonts w:ascii="Arial" w:hAnsi="Arial" w:cs="Arial"/>
          <w:sz w:val="20"/>
          <w:szCs w:val="20"/>
        </w:rPr>
        <w:t>) očito i na temelju analize oksidativnog str</w:t>
      </w:r>
      <w:r w:rsidR="00E269B4" w:rsidRPr="00DF1F73">
        <w:rPr>
          <w:rFonts w:ascii="Arial" w:hAnsi="Arial" w:cs="Arial"/>
          <w:sz w:val="20"/>
          <w:szCs w:val="20"/>
        </w:rPr>
        <w:t>esa u moždanom deblu životinja gdje peroralna i intraperitonealna galaktoza akutno ostvaruje štetni učinak generiranjem oksidativnog stresa u kontrolnih životinja, a blagotvorni u STZ-icv životinja (</w:t>
      </w:r>
      <w:r w:rsidR="00144197" w:rsidRPr="00DF1F73">
        <w:rPr>
          <w:rFonts w:ascii="Arial" w:hAnsi="Arial" w:cs="Arial"/>
          <w:sz w:val="20"/>
          <w:szCs w:val="20"/>
        </w:rPr>
        <w:t>koji je vidljiv na temelju</w:t>
      </w:r>
      <w:r w:rsidR="00E269B4" w:rsidRPr="00DF1F73">
        <w:rPr>
          <w:rFonts w:ascii="Arial" w:hAnsi="Arial" w:cs="Arial"/>
          <w:sz w:val="20"/>
          <w:szCs w:val="20"/>
        </w:rPr>
        <w:t xml:space="preserve"> analize aktivnosti katalaze i reduciranog glutationa; </w:t>
      </w:r>
      <w:r w:rsidR="00B82811">
        <w:rPr>
          <w:rFonts w:ascii="Arial" w:hAnsi="Arial" w:cs="Arial"/>
          <w:sz w:val="20"/>
          <w:szCs w:val="20"/>
        </w:rPr>
        <w:t>S</w:t>
      </w:r>
      <w:r w:rsidR="00E269B4" w:rsidRPr="00DF1F73">
        <w:rPr>
          <w:rFonts w:ascii="Arial" w:hAnsi="Arial" w:cs="Arial"/>
          <w:sz w:val="20"/>
          <w:szCs w:val="20"/>
        </w:rPr>
        <w:t>lika</w:t>
      </w:r>
      <w:r w:rsidR="00A67E72">
        <w:rPr>
          <w:rFonts w:ascii="Arial" w:hAnsi="Arial" w:cs="Arial"/>
          <w:sz w:val="20"/>
          <w:szCs w:val="20"/>
        </w:rPr>
        <w:t xml:space="preserve"> 15.</w:t>
      </w:r>
      <w:r w:rsidR="00E269B4" w:rsidRPr="00DF1F73">
        <w:rPr>
          <w:rFonts w:ascii="Arial" w:hAnsi="Arial" w:cs="Arial"/>
          <w:sz w:val="20"/>
          <w:szCs w:val="20"/>
        </w:rPr>
        <w:t xml:space="preserve">). </w:t>
      </w:r>
      <w:r w:rsidR="00FD0A2A" w:rsidRPr="00DF1F73">
        <w:rPr>
          <w:rFonts w:ascii="Arial" w:hAnsi="Arial" w:cs="Arial"/>
          <w:sz w:val="20"/>
          <w:szCs w:val="20"/>
        </w:rPr>
        <w:t>S</w:t>
      </w:r>
      <w:r w:rsidR="00045E86" w:rsidRPr="00DF1F73">
        <w:rPr>
          <w:rFonts w:ascii="Arial" w:hAnsi="Arial" w:cs="Arial"/>
          <w:sz w:val="20"/>
          <w:szCs w:val="20"/>
        </w:rPr>
        <w:t xml:space="preserve">matramo da bi </w:t>
      </w:r>
      <w:r w:rsidR="00FD0A2A" w:rsidRPr="00DF1F73">
        <w:rPr>
          <w:rFonts w:ascii="Arial" w:hAnsi="Arial" w:cs="Arial"/>
          <w:sz w:val="20"/>
          <w:szCs w:val="20"/>
        </w:rPr>
        <w:t>dobiveni rezultati mogli</w:t>
      </w:r>
      <w:r w:rsidR="00045E86">
        <w:rPr>
          <w:rFonts w:ascii="Arial" w:hAnsi="Arial" w:cs="Arial"/>
          <w:sz w:val="20"/>
          <w:szCs w:val="20"/>
        </w:rPr>
        <w:t xml:space="preserve"> uvelike doprinjeti razjašnjavanju mehanizma blagotvornog učinka pe</w:t>
      </w:r>
      <w:r w:rsidR="00FD0A2A">
        <w:rPr>
          <w:rFonts w:ascii="Arial" w:hAnsi="Arial" w:cs="Arial"/>
          <w:sz w:val="20"/>
          <w:szCs w:val="20"/>
        </w:rPr>
        <w:t>r</w:t>
      </w:r>
      <w:r w:rsidR="00E269B4">
        <w:rPr>
          <w:rFonts w:ascii="Arial" w:hAnsi="Arial" w:cs="Arial"/>
          <w:sz w:val="20"/>
          <w:szCs w:val="20"/>
        </w:rPr>
        <w:t>oralne galaktoze u štako</w:t>
      </w:r>
      <w:r w:rsidR="00045E86">
        <w:rPr>
          <w:rFonts w:ascii="Arial" w:hAnsi="Arial" w:cs="Arial"/>
          <w:sz w:val="20"/>
          <w:szCs w:val="20"/>
        </w:rPr>
        <w:t>rskom modelu sAD, te štetnog učinka galaktoze u zdravih životinja</w:t>
      </w:r>
      <w:r w:rsidR="00144197">
        <w:rPr>
          <w:rFonts w:ascii="Arial" w:hAnsi="Arial" w:cs="Arial"/>
          <w:sz w:val="20"/>
          <w:szCs w:val="20"/>
        </w:rPr>
        <w:t>. Kako bi u potpunosti razjasniti značaj dobivenih rezultata u kontekstu ravoja sAD</w:t>
      </w:r>
      <w:r w:rsidR="00A67E72">
        <w:rPr>
          <w:rFonts w:ascii="Arial" w:hAnsi="Arial" w:cs="Arial"/>
          <w:sz w:val="20"/>
          <w:szCs w:val="20"/>
        </w:rPr>
        <w:t>, promjenu</w:t>
      </w:r>
      <w:r w:rsidR="00144197">
        <w:rPr>
          <w:rFonts w:ascii="Arial" w:hAnsi="Arial" w:cs="Arial"/>
          <w:sz w:val="20"/>
          <w:szCs w:val="20"/>
        </w:rPr>
        <w:t xml:space="preserve"> metabolizma i oksidativnog stresa u moždanom deblu trebalo bi istražiti nakon kronične administracije galaktoze što</w:t>
      </w:r>
      <w:r w:rsidR="00A67E72">
        <w:rPr>
          <w:rFonts w:ascii="Arial" w:hAnsi="Arial" w:cs="Arial"/>
          <w:sz w:val="20"/>
          <w:szCs w:val="20"/>
        </w:rPr>
        <w:t xml:space="preserve"> planiramo provesti kao idući korak našeg istraživanja</w:t>
      </w:r>
      <w:r w:rsidR="00045E86">
        <w:rPr>
          <w:rFonts w:ascii="Arial" w:hAnsi="Arial" w:cs="Arial"/>
          <w:sz w:val="20"/>
          <w:szCs w:val="20"/>
        </w:rPr>
        <w:t xml:space="preserve">. </w:t>
      </w:r>
      <w:r w:rsidR="00E269B4">
        <w:rPr>
          <w:rFonts w:ascii="Arial" w:hAnsi="Arial" w:cs="Arial"/>
          <w:sz w:val="20"/>
          <w:szCs w:val="20"/>
        </w:rPr>
        <w:t>Budući da su ov</w:t>
      </w:r>
      <w:r w:rsidR="00A67E72">
        <w:rPr>
          <w:rFonts w:ascii="Arial" w:hAnsi="Arial" w:cs="Arial"/>
          <w:sz w:val="20"/>
          <w:szCs w:val="20"/>
        </w:rPr>
        <w:t>o prvi rezultati koji upućuju na</w:t>
      </w:r>
      <w:r w:rsidR="00E269B4">
        <w:rPr>
          <w:rFonts w:ascii="Arial" w:hAnsi="Arial" w:cs="Arial"/>
          <w:sz w:val="20"/>
          <w:szCs w:val="20"/>
        </w:rPr>
        <w:t xml:space="preserve"> dramatične metaboličke razlike</w:t>
      </w:r>
      <w:r w:rsidR="00A67E72">
        <w:rPr>
          <w:rFonts w:ascii="Arial" w:hAnsi="Arial" w:cs="Arial"/>
          <w:sz w:val="20"/>
          <w:szCs w:val="20"/>
        </w:rPr>
        <w:t>,</w:t>
      </w:r>
      <w:r w:rsidR="00E269B4">
        <w:rPr>
          <w:rFonts w:ascii="Arial" w:hAnsi="Arial" w:cs="Arial"/>
          <w:sz w:val="20"/>
          <w:szCs w:val="20"/>
        </w:rPr>
        <w:t xml:space="preserve"> i posljedično drugačiji odgovor na administraciju galaktoze u moždanom deblu, otvaraju </w:t>
      </w:r>
      <w:r w:rsidR="00144197">
        <w:rPr>
          <w:rFonts w:ascii="Arial" w:hAnsi="Arial" w:cs="Arial"/>
          <w:sz w:val="20"/>
          <w:szCs w:val="20"/>
        </w:rPr>
        <w:t xml:space="preserve">više pitanja nego što nude odgovora, ali </w:t>
      </w:r>
      <w:r w:rsidR="00A67E72">
        <w:rPr>
          <w:rFonts w:ascii="Arial" w:hAnsi="Arial" w:cs="Arial"/>
          <w:sz w:val="20"/>
          <w:szCs w:val="20"/>
        </w:rPr>
        <w:t xml:space="preserve">jasno ukazuju da </w:t>
      </w:r>
      <w:r w:rsidR="00045E86">
        <w:rPr>
          <w:rFonts w:ascii="Arial" w:hAnsi="Arial" w:cs="Arial"/>
          <w:sz w:val="20"/>
          <w:szCs w:val="20"/>
        </w:rPr>
        <w:t>metabolički poremećaji</w:t>
      </w:r>
      <w:r w:rsidR="00A67E72">
        <w:rPr>
          <w:rFonts w:ascii="Arial" w:hAnsi="Arial" w:cs="Arial"/>
          <w:sz w:val="20"/>
          <w:szCs w:val="20"/>
        </w:rPr>
        <w:t xml:space="preserve"> koji su</w:t>
      </w:r>
      <w:r w:rsidR="00045E86">
        <w:rPr>
          <w:rFonts w:ascii="Arial" w:hAnsi="Arial" w:cs="Arial"/>
          <w:sz w:val="20"/>
          <w:szCs w:val="20"/>
        </w:rPr>
        <w:t xml:space="preserve"> od ključnog značaja u razvoju AD </w:t>
      </w:r>
      <w:r w:rsidR="00A67E72">
        <w:rPr>
          <w:rFonts w:ascii="Arial" w:hAnsi="Arial" w:cs="Arial"/>
          <w:sz w:val="20"/>
          <w:szCs w:val="20"/>
        </w:rPr>
        <w:t xml:space="preserve">imaju </w:t>
      </w:r>
      <w:r w:rsidR="00045E86">
        <w:rPr>
          <w:rFonts w:ascii="Arial" w:hAnsi="Arial" w:cs="Arial"/>
          <w:sz w:val="20"/>
          <w:szCs w:val="20"/>
        </w:rPr>
        <w:t xml:space="preserve">i centralnu komponentu koja uključuje poremećaj integrativne metaboličke funckcije moždanog debla. </w:t>
      </w:r>
    </w:p>
    <w:p w14:paraId="322BF4D0" w14:textId="362D11C9" w:rsidR="00F12B45" w:rsidRPr="00A67E72" w:rsidRDefault="00F12B45" w:rsidP="00F12B45">
      <w:pPr>
        <w:pStyle w:val="ListParagraph"/>
        <w:numPr>
          <w:ilvl w:val="0"/>
          <w:numId w:val="8"/>
        </w:numPr>
        <w:spacing w:line="360" w:lineRule="auto"/>
        <w:outlineLvl w:val="1"/>
        <w:rPr>
          <w:rFonts w:ascii="Arial" w:hAnsi="Arial" w:cs="Arial"/>
          <w:b/>
          <w:color w:val="000000"/>
          <w:shd w:val="clear" w:color="auto" w:fill="FFFFFF"/>
        </w:rPr>
      </w:pPr>
      <w:r w:rsidRPr="00A67E72">
        <w:rPr>
          <w:rFonts w:ascii="Arial" w:hAnsi="Arial" w:cs="Arial"/>
          <w:b/>
        </w:rPr>
        <w:t xml:space="preserve">ZAKLJUČCI </w:t>
      </w:r>
      <w:r w:rsidR="00D87EDE">
        <w:rPr>
          <w:rFonts w:ascii="Arial" w:hAnsi="Arial" w:cs="Arial"/>
          <w:b/>
        </w:rPr>
        <w:br/>
      </w:r>
    </w:p>
    <w:p w14:paraId="668CFFF3" w14:textId="75C78F3F" w:rsidR="00782477" w:rsidRPr="00171F8E" w:rsidRDefault="00782477" w:rsidP="00F12B45">
      <w:pPr>
        <w:spacing w:line="360" w:lineRule="auto"/>
        <w:jc w:val="both"/>
        <w:rPr>
          <w:rFonts w:ascii="Arial" w:hAnsi="Arial" w:cs="Arial"/>
          <w:sz w:val="20"/>
          <w:szCs w:val="20"/>
        </w:rPr>
      </w:pPr>
      <w:r w:rsidRPr="00171F8E">
        <w:rPr>
          <w:rFonts w:ascii="Arial" w:hAnsi="Arial" w:cs="Arial"/>
          <w:sz w:val="20"/>
          <w:szCs w:val="20"/>
        </w:rPr>
        <w:t xml:space="preserve">1) </w:t>
      </w:r>
      <w:r w:rsidR="00144197" w:rsidRPr="00171F8E">
        <w:rPr>
          <w:rFonts w:ascii="Arial" w:hAnsi="Arial" w:cs="Arial"/>
          <w:sz w:val="20"/>
          <w:szCs w:val="20"/>
        </w:rPr>
        <w:t xml:space="preserve">Akutna administracija STZ-icv aktivira stanice DMNX </w:t>
      </w:r>
      <w:r w:rsidR="00137F23" w:rsidRPr="00171F8E">
        <w:rPr>
          <w:rFonts w:ascii="Arial" w:hAnsi="Arial" w:cs="Arial"/>
          <w:sz w:val="20"/>
          <w:szCs w:val="20"/>
        </w:rPr>
        <w:t>što je vidljivo kao povećanje ekspresije c-fos protoonkogena u usp</w:t>
      </w:r>
      <w:r w:rsidR="001A597C">
        <w:rPr>
          <w:rFonts w:ascii="Arial" w:hAnsi="Arial" w:cs="Arial"/>
          <w:sz w:val="20"/>
          <w:szCs w:val="20"/>
        </w:rPr>
        <w:t>o</w:t>
      </w:r>
      <w:r w:rsidR="00137F23" w:rsidRPr="00171F8E">
        <w:rPr>
          <w:rFonts w:ascii="Arial" w:hAnsi="Arial" w:cs="Arial"/>
          <w:sz w:val="20"/>
          <w:szCs w:val="20"/>
        </w:rPr>
        <w:t xml:space="preserve">redbi s kontrolom  sat vremena nakon tretmana. </w:t>
      </w:r>
    </w:p>
    <w:p w14:paraId="67618E06" w14:textId="3D766FAD" w:rsidR="00137F23" w:rsidRPr="00171F8E" w:rsidRDefault="00137F23" w:rsidP="00F12B45">
      <w:pPr>
        <w:spacing w:line="360" w:lineRule="auto"/>
        <w:jc w:val="both"/>
        <w:rPr>
          <w:rFonts w:ascii="Arial" w:hAnsi="Arial" w:cs="Arial"/>
          <w:sz w:val="20"/>
          <w:szCs w:val="20"/>
        </w:rPr>
      </w:pPr>
      <w:r w:rsidRPr="00171F8E">
        <w:rPr>
          <w:rFonts w:ascii="Arial" w:hAnsi="Arial" w:cs="Arial"/>
          <w:sz w:val="20"/>
          <w:szCs w:val="20"/>
        </w:rPr>
        <w:t xml:space="preserve">2) Akutna administracija STZ-icv </w:t>
      </w:r>
      <w:r w:rsidR="00CD440B" w:rsidRPr="00171F8E">
        <w:rPr>
          <w:rFonts w:ascii="Arial" w:hAnsi="Arial" w:cs="Arial"/>
          <w:sz w:val="20"/>
          <w:szCs w:val="20"/>
        </w:rPr>
        <w:t xml:space="preserve">uzrokuje biokemijske promjene DMNX koje se očituju promjenom inzulinske signalizacije vidljive kao povećanje intenziteta signala IR i smanjenom autofagijom vidljivom kao povećanje intenziteta signala pULK1 u usporedbi s kontrolnim životinjama </w:t>
      </w:r>
    </w:p>
    <w:p w14:paraId="03A718DE" w14:textId="00C41137" w:rsidR="00CD440B" w:rsidRPr="00171F8E" w:rsidRDefault="00CD440B" w:rsidP="00F12B45">
      <w:pPr>
        <w:spacing w:line="360" w:lineRule="auto"/>
        <w:jc w:val="both"/>
        <w:rPr>
          <w:rFonts w:ascii="Arial" w:hAnsi="Arial" w:cs="Arial"/>
          <w:noProof/>
          <w:sz w:val="20"/>
          <w:szCs w:val="20"/>
        </w:rPr>
      </w:pPr>
      <w:r w:rsidRPr="00171F8E">
        <w:rPr>
          <w:rFonts w:ascii="Arial" w:hAnsi="Arial" w:cs="Arial"/>
          <w:sz w:val="20"/>
          <w:szCs w:val="20"/>
        </w:rPr>
        <w:t xml:space="preserve">3) Akutna administracija STZ-icv smanjuje GFAP signal u </w:t>
      </w:r>
      <w:r w:rsidRPr="00171F8E">
        <w:rPr>
          <w:rFonts w:ascii="Arial" w:hAnsi="Arial" w:cs="Arial"/>
          <w:noProof/>
          <w:sz w:val="20"/>
          <w:szCs w:val="20"/>
        </w:rPr>
        <w:t xml:space="preserve">području centralnog kanala, središnjeg dijela solitarne jezgre te uz dijelove NTS koji graniče s </w:t>
      </w:r>
      <w:r w:rsidR="001A597C">
        <w:rPr>
          <w:rFonts w:ascii="Arial" w:hAnsi="Arial" w:cs="Arial"/>
          <w:noProof/>
          <w:sz w:val="20"/>
          <w:szCs w:val="20"/>
        </w:rPr>
        <w:t xml:space="preserve">AP </w:t>
      </w:r>
      <w:r w:rsidRPr="00171F8E">
        <w:rPr>
          <w:rFonts w:ascii="Arial" w:hAnsi="Arial" w:cs="Arial"/>
          <w:noProof/>
          <w:sz w:val="20"/>
          <w:szCs w:val="20"/>
        </w:rPr>
        <w:t xml:space="preserve">u usporedbi s kontrolnim životinjama </w:t>
      </w:r>
    </w:p>
    <w:p w14:paraId="156ED04E" w14:textId="68428EFA" w:rsidR="00CD440B" w:rsidRPr="00171F8E" w:rsidRDefault="00CD440B" w:rsidP="00F12B45">
      <w:pPr>
        <w:spacing w:line="360" w:lineRule="auto"/>
        <w:jc w:val="both"/>
        <w:rPr>
          <w:rFonts w:ascii="Arial" w:hAnsi="Arial" w:cs="Arial"/>
          <w:noProof/>
          <w:sz w:val="20"/>
          <w:szCs w:val="20"/>
        </w:rPr>
      </w:pPr>
      <w:r w:rsidRPr="00171F8E">
        <w:rPr>
          <w:rFonts w:ascii="Arial" w:hAnsi="Arial" w:cs="Arial"/>
          <w:noProof/>
          <w:sz w:val="20"/>
          <w:szCs w:val="20"/>
        </w:rPr>
        <w:t xml:space="preserve">4) Administracija STZ-icv </w:t>
      </w:r>
      <w:r w:rsidR="004E4EF7" w:rsidRPr="00171F8E">
        <w:rPr>
          <w:rFonts w:ascii="Arial" w:hAnsi="Arial" w:cs="Arial"/>
          <w:noProof/>
          <w:sz w:val="20"/>
          <w:szCs w:val="20"/>
        </w:rPr>
        <w:t xml:space="preserve">mjesec dana nakon tretmana smanjuje </w:t>
      </w:r>
      <w:r w:rsidRPr="00171F8E">
        <w:rPr>
          <w:rFonts w:ascii="Arial" w:hAnsi="Arial" w:cs="Arial"/>
          <w:noProof/>
          <w:sz w:val="20"/>
          <w:szCs w:val="20"/>
        </w:rPr>
        <w:t xml:space="preserve"> </w:t>
      </w:r>
      <w:r w:rsidR="004E4EF7" w:rsidRPr="00171F8E">
        <w:rPr>
          <w:rFonts w:ascii="Arial" w:hAnsi="Arial" w:cs="Arial"/>
          <w:noProof/>
          <w:sz w:val="20"/>
          <w:szCs w:val="20"/>
        </w:rPr>
        <w:t>ekspresiju</w:t>
      </w:r>
      <w:r w:rsidRPr="00171F8E">
        <w:rPr>
          <w:rFonts w:ascii="Arial" w:hAnsi="Arial" w:cs="Arial"/>
          <w:noProof/>
          <w:sz w:val="20"/>
          <w:szCs w:val="20"/>
        </w:rPr>
        <w:t xml:space="preserve"> inzulinskog receptora </w:t>
      </w:r>
      <w:r w:rsidR="004E4EF7" w:rsidRPr="00171F8E">
        <w:rPr>
          <w:rFonts w:ascii="Arial" w:hAnsi="Arial" w:cs="Arial"/>
          <w:noProof/>
          <w:sz w:val="20"/>
          <w:szCs w:val="20"/>
        </w:rPr>
        <w:t xml:space="preserve">i GLUT3, a povećava ekspresiju GLUT4 </w:t>
      </w:r>
      <w:r w:rsidRPr="00171F8E">
        <w:rPr>
          <w:rFonts w:ascii="Arial" w:hAnsi="Arial" w:cs="Arial"/>
          <w:noProof/>
          <w:sz w:val="20"/>
          <w:szCs w:val="20"/>
        </w:rPr>
        <w:t>u DMNX bez učinka na promjenu proteina povezanih s mTOR sustavom</w:t>
      </w:r>
      <w:r w:rsidR="004E4EF7" w:rsidRPr="00171F8E">
        <w:rPr>
          <w:rFonts w:ascii="Arial" w:hAnsi="Arial" w:cs="Arial"/>
          <w:noProof/>
          <w:sz w:val="20"/>
          <w:szCs w:val="20"/>
        </w:rPr>
        <w:t xml:space="preserve"> (pP70S6K)</w:t>
      </w:r>
      <w:r w:rsidRPr="00171F8E">
        <w:rPr>
          <w:rFonts w:ascii="Arial" w:hAnsi="Arial" w:cs="Arial"/>
          <w:noProof/>
          <w:sz w:val="20"/>
          <w:szCs w:val="20"/>
        </w:rPr>
        <w:t>, autofagijom</w:t>
      </w:r>
      <w:r w:rsidR="004E4EF7" w:rsidRPr="00171F8E">
        <w:rPr>
          <w:rFonts w:ascii="Arial" w:hAnsi="Arial" w:cs="Arial"/>
          <w:noProof/>
          <w:sz w:val="20"/>
          <w:szCs w:val="20"/>
        </w:rPr>
        <w:t xml:space="preserve"> (pULK1)</w:t>
      </w:r>
      <w:r w:rsidRPr="00171F8E">
        <w:rPr>
          <w:rFonts w:ascii="Arial" w:hAnsi="Arial" w:cs="Arial"/>
          <w:noProof/>
          <w:sz w:val="20"/>
          <w:szCs w:val="20"/>
        </w:rPr>
        <w:t xml:space="preserve"> i signalizacijsom ERK1/2. </w:t>
      </w:r>
    </w:p>
    <w:p w14:paraId="6D2FF538" w14:textId="1554260E" w:rsidR="00CD440B" w:rsidRPr="00171F8E" w:rsidRDefault="00CD440B" w:rsidP="00F12B45">
      <w:pPr>
        <w:spacing w:line="360" w:lineRule="auto"/>
        <w:jc w:val="both"/>
        <w:rPr>
          <w:rFonts w:ascii="Arial" w:hAnsi="Arial" w:cs="Arial"/>
          <w:noProof/>
          <w:sz w:val="20"/>
          <w:szCs w:val="20"/>
        </w:rPr>
      </w:pPr>
      <w:r w:rsidRPr="00171F8E">
        <w:rPr>
          <w:rFonts w:ascii="Arial" w:hAnsi="Arial" w:cs="Arial"/>
          <w:noProof/>
          <w:sz w:val="20"/>
          <w:szCs w:val="20"/>
        </w:rPr>
        <w:t xml:space="preserve">5) </w:t>
      </w:r>
      <w:r w:rsidR="004E4EF7" w:rsidRPr="00171F8E">
        <w:rPr>
          <w:rFonts w:ascii="Arial" w:hAnsi="Arial" w:cs="Arial"/>
          <w:noProof/>
          <w:sz w:val="20"/>
          <w:szCs w:val="20"/>
        </w:rPr>
        <w:t xml:space="preserve">Administracija STZ-icv povećava oksidativni stres u moždanom deblu mjesec dana nakon tretmana u sporedbi s kontrolnim životinjama </w:t>
      </w:r>
    </w:p>
    <w:p w14:paraId="49510679" w14:textId="50C89BDF" w:rsidR="004E4EF7" w:rsidRPr="00171F8E" w:rsidRDefault="004E4EF7" w:rsidP="00F12B45">
      <w:pPr>
        <w:spacing w:line="360" w:lineRule="auto"/>
        <w:jc w:val="both"/>
        <w:rPr>
          <w:rFonts w:ascii="Arial" w:hAnsi="Arial" w:cs="Arial"/>
          <w:noProof/>
          <w:sz w:val="20"/>
          <w:szCs w:val="20"/>
        </w:rPr>
      </w:pPr>
      <w:r w:rsidRPr="00171F8E">
        <w:rPr>
          <w:rFonts w:ascii="Arial" w:hAnsi="Arial" w:cs="Arial"/>
          <w:noProof/>
          <w:sz w:val="20"/>
          <w:szCs w:val="20"/>
        </w:rPr>
        <w:lastRenderedPageBreak/>
        <w:t>6) Kontrolne i STZ-icv životinje mjesec dana nakon tretmana pokazuju različit obrazac promjene proteina povezanih s regulacijom metabolizma te staničnog transporta glukoze u odgovoru na akutnu administraciju peroralne i intraperitonealne D-galaktoze</w:t>
      </w:r>
      <w:r w:rsidR="001A597C">
        <w:rPr>
          <w:rFonts w:ascii="Arial" w:hAnsi="Arial" w:cs="Arial"/>
          <w:noProof/>
          <w:sz w:val="20"/>
          <w:szCs w:val="20"/>
        </w:rPr>
        <w:t>.</w:t>
      </w:r>
      <w:r w:rsidRPr="00171F8E">
        <w:rPr>
          <w:rFonts w:ascii="Arial" w:hAnsi="Arial" w:cs="Arial"/>
          <w:noProof/>
          <w:sz w:val="20"/>
          <w:szCs w:val="20"/>
        </w:rPr>
        <w:t xml:space="preserve"> </w:t>
      </w:r>
    </w:p>
    <w:p w14:paraId="1F2E6C7C" w14:textId="39B958E1" w:rsidR="004E4EF7" w:rsidRPr="00171F8E" w:rsidRDefault="004E4EF7" w:rsidP="00F12B45">
      <w:pPr>
        <w:spacing w:line="360" w:lineRule="auto"/>
        <w:jc w:val="both"/>
        <w:rPr>
          <w:rFonts w:ascii="Arial" w:hAnsi="Arial" w:cs="Arial"/>
          <w:noProof/>
          <w:sz w:val="20"/>
          <w:szCs w:val="20"/>
        </w:rPr>
      </w:pPr>
      <w:r w:rsidRPr="00171F8E">
        <w:rPr>
          <w:rFonts w:ascii="Arial" w:hAnsi="Arial" w:cs="Arial"/>
          <w:noProof/>
          <w:sz w:val="20"/>
          <w:szCs w:val="20"/>
        </w:rPr>
        <w:t>7) Metaboliče promjene povezane s fosforilacijom P70S6K, ERK1/2 i ULK1 koje nastaju kao odgovor na akutnu primjenu peroralne i intraperitonealne D-galaktoze kontrolnim i STZ-icv tret</w:t>
      </w:r>
      <w:r w:rsidR="001A597C">
        <w:rPr>
          <w:rFonts w:ascii="Arial" w:hAnsi="Arial" w:cs="Arial"/>
          <w:noProof/>
          <w:sz w:val="20"/>
          <w:szCs w:val="20"/>
        </w:rPr>
        <w:t>iranim životinjama specifične su</w:t>
      </w:r>
      <w:r w:rsidRPr="00171F8E">
        <w:rPr>
          <w:rFonts w:ascii="Arial" w:hAnsi="Arial" w:cs="Arial"/>
          <w:noProof/>
          <w:sz w:val="20"/>
          <w:szCs w:val="20"/>
        </w:rPr>
        <w:t xml:space="preserve"> za DMNX i ne događaju se u svim regijama moždanog debla. </w:t>
      </w:r>
    </w:p>
    <w:p w14:paraId="567CE2AD" w14:textId="1DB1EF84" w:rsidR="004E4EF7" w:rsidRPr="00171F8E" w:rsidRDefault="004E4EF7" w:rsidP="00F12B45">
      <w:pPr>
        <w:spacing w:line="360" w:lineRule="auto"/>
        <w:jc w:val="both"/>
        <w:rPr>
          <w:rFonts w:ascii="Arial" w:hAnsi="Arial" w:cs="Arial"/>
          <w:noProof/>
          <w:sz w:val="20"/>
          <w:szCs w:val="20"/>
        </w:rPr>
      </w:pPr>
      <w:r w:rsidRPr="00171F8E">
        <w:rPr>
          <w:rFonts w:ascii="Arial" w:hAnsi="Arial" w:cs="Arial"/>
          <w:noProof/>
          <w:sz w:val="20"/>
          <w:szCs w:val="20"/>
        </w:rPr>
        <w:t xml:space="preserve">8) </w:t>
      </w:r>
      <w:r w:rsidR="00F60CC5" w:rsidRPr="00171F8E">
        <w:rPr>
          <w:rFonts w:ascii="Arial" w:hAnsi="Arial" w:cs="Arial"/>
          <w:noProof/>
          <w:sz w:val="20"/>
          <w:szCs w:val="20"/>
        </w:rPr>
        <w:t>Peroralna i intraperitonealna akutna administracija D-gala</w:t>
      </w:r>
      <w:r w:rsidR="001A597C">
        <w:rPr>
          <w:rFonts w:ascii="Arial" w:hAnsi="Arial" w:cs="Arial"/>
          <w:noProof/>
          <w:sz w:val="20"/>
          <w:szCs w:val="20"/>
        </w:rPr>
        <w:t>ktoze uzrokuju</w:t>
      </w:r>
      <w:r w:rsidR="00F60CC5" w:rsidRPr="00171F8E">
        <w:rPr>
          <w:rFonts w:ascii="Arial" w:hAnsi="Arial" w:cs="Arial"/>
          <w:noProof/>
          <w:sz w:val="20"/>
          <w:szCs w:val="20"/>
        </w:rPr>
        <w:t xml:space="preserve"> povećanje aktivnosti katalaze i smanjenje količine antioksidansa reduciranog glutationa u zdravih životinja, a ima</w:t>
      </w:r>
      <w:r w:rsidR="001A597C">
        <w:rPr>
          <w:rFonts w:ascii="Arial" w:hAnsi="Arial" w:cs="Arial"/>
          <w:noProof/>
          <w:sz w:val="20"/>
          <w:szCs w:val="20"/>
        </w:rPr>
        <w:t>ju</w:t>
      </w:r>
      <w:r w:rsidR="00F60CC5" w:rsidRPr="00171F8E">
        <w:rPr>
          <w:rFonts w:ascii="Arial" w:hAnsi="Arial" w:cs="Arial"/>
          <w:noProof/>
          <w:sz w:val="20"/>
          <w:szCs w:val="20"/>
        </w:rPr>
        <w:t xml:space="preserve"> obrnuti učinak </w:t>
      </w:r>
      <w:r w:rsidR="001A597C">
        <w:rPr>
          <w:rFonts w:ascii="Arial" w:hAnsi="Arial" w:cs="Arial"/>
          <w:noProof/>
          <w:sz w:val="20"/>
          <w:szCs w:val="20"/>
        </w:rPr>
        <w:t xml:space="preserve">u STZ-icv </w:t>
      </w:r>
      <w:r w:rsidR="00F60CC5" w:rsidRPr="00171F8E">
        <w:rPr>
          <w:rFonts w:ascii="Arial" w:hAnsi="Arial" w:cs="Arial"/>
          <w:noProof/>
          <w:sz w:val="20"/>
          <w:szCs w:val="20"/>
        </w:rPr>
        <w:t>životinja</w:t>
      </w:r>
      <w:r w:rsidR="001A597C">
        <w:rPr>
          <w:rFonts w:ascii="Arial" w:hAnsi="Arial" w:cs="Arial"/>
          <w:noProof/>
          <w:sz w:val="20"/>
          <w:szCs w:val="20"/>
        </w:rPr>
        <w:t>ma</w:t>
      </w:r>
      <w:r w:rsidR="00F60CC5" w:rsidRPr="00171F8E">
        <w:rPr>
          <w:rFonts w:ascii="Arial" w:hAnsi="Arial" w:cs="Arial"/>
          <w:noProof/>
          <w:sz w:val="20"/>
          <w:szCs w:val="20"/>
        </w:rPr>
        <w:t>.</w:t>
      </w:r>
    </w:p>
    <w:p w14:paraId="3A0CB824" w14:textId="19EA2EFF" w:rsidR="00F60CC5" w:rsidRPr="00171F8E" w:rsidRDefault="00F60CC5" w:rsidP="00F12B45">
      <w:pPr>
        <w:spacing w:line="360" w:lineRule="auto"/>
        <w:jc w:val="both"/>
        <w:rPr>
          <w:rFonts w:ascii="Arial" w:hAnsi="Arial" w:cs="Arial"/>
          <w:noProof/>
          <w:sz w:val="20"/>
          <w:szCs w:val="20"/>
        </w:rPr>
      </w:pPr>
      <w:r w:rsidRPr="00171F8E">
        <w:rPr>
          <w:rFonts w:ascii="Arial" w:hAnsi="Arial" w:cs="Arial"/>
          <w:noProof/>
          <w:sz w:val="20"/>
          <w:szCs w:val="20"/>
        </w:rPr>
        <w:t>9) Akutna adminstracija peroralne i intraperitonealne D-galaktoze povećava lipidnu peroksidaciju u kontrolnih i STZ-icv tretiranih životinja</w:t>
      </w:r>
      <w:r w:rsidR="001A597C">
        <w:rPr>
          <w:rFonts w:ascii="Arial" w:hAnsi="Arial" w:cs="Arial"/>
          <w:noProof/>
          <w:sz w:val="20"/>
          <w:szCs w:val="20"/>
        </w:rPr>
        <w:t>.</w:t>
      </w:r>
      <w:r w:rsidRPr="00171F8E">
        <w:rPr>
          <w:rFonts w:ascii="Arial" w:hAnsi="Arial" w:cs="Arial"/>
          <w:noProof/>
          <w:sz w:val="20"/>
          <w:szCs w:val="20"/>
        </w:rPr>
        <w:t xml:space="preserve"> </w:t>
      </w:r>
    </w:p>
    <w:p w14:paraId="17D4F7FA" w14:textId="50CFBF87" w:rsidR="00F12B45" w:rsidRPr="001A597C" w:rsidRDefault="00F12B45" w:rsidP="00F12B45">
      <w:pPr>
        <w:pStyle w:val="ListParagraph"/>
        <w:numPr>
          <w:ilvl w:val="0"/>
          <w:numId w:val="8"/>
        </w:numPr>
        <w:spacing w:line="360" w:lineRule="auto"/>
        <w:outlineLvl w:val="1"/>
        <w:rPr>
          <w:rFonts w:ascii="Arial" w:hAnsi="Arial" w:cs="Arial"/>
          <w:b/>
          <w:color w:val="000000"/>
          <w:shd w:val="clear" w:color="auto" w:fill="FFFFFF"/>
        </w:rPr>
      </w:pPr>
      <w:r w:rsidRPr="001A597C">
        <w:rPr>
          <w:rFonts w:ascii="Arial" w:hAnsi="Arial" w:cs="Arial"/>
          <w:b/>
        </w:rPr>
        <w:t>Z</w:t>
      </w:r>
      <w:r w:rsidR="00D87EDE">
        <w:rPr>
          <w:rFonts w:ascii="Arial" w:hAnsi="Arial" w:cs="Arial"/>
          <w:b/>
        </w:rPr>
        <w:t>AHVALE</w:t>
      </w:r>
      <w:r w:rsidR="00D87EDE">
        <w:rPr>
          <w:rFonts w:ascii="Arial" w:hAnsi="Arial" w:cs="Arial"/>
          <w:b/>
        </w:rPr>
        <w:br/>
      </w:r>
    </w:p>
    <w:p w14:paraId="409B9B88" w14:textId="77777777" w:rsidR="00C151D4" w:rsidRPr="00C151D4" w:rsidRDefault="00C151D4" w:rsidP="00C151D4">
      <w:pPr>
        <w:spacing w:line="360" w:lineRule="auto"/>
        <w:jc w:val="both"/>
        <w:outlineLvl w:val="1"/>
        <w:rPr>
          <w:rFonts w:ascii="Arial" w:hAnsi="Arial" w:cs="Arial"/>
          <w:color w:val="000000"/>
          <w:sz w:val="20"/>
          <w:szCs w:val="20"/>
          <w:shd w:val="clear" w:color="auto" w:fill="FFFFFF"/>
        </w:rPr>
      </w:pPr>
      <w:r w:rsidRPr="00C151D4">
        <w:rPr>
          <w:rFonts w:ascii="Arial" w:hAnsi="Arial" w:cs="Arial"/>
          <w:color w:val="000000"/>
          <w:sz w:val="20"/>
          <w:szCs w:val="20"/>
          <w:shd w:val="clear" w:color="auto" w:fill="FFFFFF"/>
        </w:rPr>
        <w:t xml:space="preserve">Zahvaljujem se mentorici dr.sc. Ani Knezović na neizmjernom trudu i volji te vremenu koje je spremno žrtvovala kako bi kako bi mi pomogla u svakom segmentu učenja znanstvene metodologije koje je rezultiralo ovim radom. Hvala i za prijateljstvo i brojne životne poduke koje su došle u kompletu. </w:t>
      </w:r>
    </w:p>
    <w:p w14:paraId="2CAA8D78" w14:textId="79B1AE8B" w:rsidR="00C151D4" w:rsidRPr="00C151D4" w:rsidRDefault="00C151D4" w:rsidP="00C151D4">
      <w:pPr>
        <w:spacing w:line="360" w:lineRule="auto"/>
        <w:jc w:val="both"/>
        <w:outlineLvl w:val="1"/>
        <w:rPr>
          <w:rFonts w:ascii="Arial" w:hAnsi="Arial" w:cs="Arial"/>
          <w:color w:val="000000"/>
          <w:sz w:val="20"/>
          <w:szCs w:val="20"/>
          <w:shd w:val="clear" w:color="auto" w:fill="FFFFFF"/>
        </w:rPr>
      </w:pPr>
      <w:r w:rsidRPr="00C151D4">
        <w:rPr>
          <w:rFonts w:ascii="Arial" w:hAnsi="Arial" w:cs="Arial"/>
          <w:color w:val="000000"/>
          <w:sz w:val="20"/>
          <w:szCs w:val="20"/>
          <w:shd w:val="clear" w:color="auto" w:fill="FFFFFF"/>
        </w:rPr>
        <w:t>Hvala prof.dr.sc.Šalković-Petrišić, voditeljici laboratorija za molekularnu neurofarmakologiju na velikom povjerenju, prilici da kao stu</w:t>
      </w:r>
      <w:r w:rsidR="001A597C">
        <w:rPr>
          <w:rFonts w:ascii="Arial" w:hAnsi="Arial" w:cs="Arial"/>
          <w:color w:val="000000"/>
          <w:sz w:val="20"/>
          <w:szCs w:val="20"/>
          <w:shd w:val="clear" w:color="auto" w:fill="FFFFFF"/>
        </w:rPr>
        <w:t>dent učim u njenom laboratoriju i pažljivom mentorskom usmjeravanju.</w:t>
      </w:r>
    </w:p>
    <w:p w14:paraId="2601FF00" w14:textId="77777777" w:rsidR="00C151D4" w:rsidRPr="00C151D4" w:rsidRDefault="00C151D4" w:rsidP="00C151D4">
      <w:pPr>
        <w:spacing w:line="360" w:lineRule="auto"/>
        <w:jc w:val="both"/>
        <w:outlineLvl w:val="1"/>
        <w:rPr>
          <w:rFonts w:ascii="Arial" w:hAnsi="Arial" w:cs="Arial"/>
          <w:color w:val="000000"/>
          <w:sz w:val="20"/>
          <w:szCs w:val="20"/>
          <w:shd w:val="clear" w:color="auto" w:fill="FFFFFF"/>
        </w:rPr>
      </w:pPr>
      <w:r w:rsidRPr="00C151D4">
        <w:rPr>
          <w:rFonts w:ascii="Arial" w:hAnsi="Arial" w:cs="Arial"/>
          <w:color w:val="000000"/>
          <w:sz w:val="20"/>
          <w:szCs w:val="20"/>
          <w:shd w:val="clear" w:color="auto" w:fill="FFFFFF"/>
        </w:rPr>
        <w:t xml:space="preserve">Hvala i ostatku ekipe iz laboratorija za molekularnu neurofarmakologiju i drugim djelatnicima zavoda na brojnim savjetima i pomoći. </w:t>
      </w:r>
    </w:p>
    <w:p w14:paraId="27128B02" w14:textId="60BCDA48" w:rsidR="00C151D4" w:rsidRPr="00C151D4" w:rsidRDefault="00C151D4" w:rsidP="00C151D4">
      <w:pPr>
        <w:spacing w:line="360" w:lineRule="auto"/>
        <w:jc w:val="both"/>
        <w:outlineLvl w:val="1"/>
        <w:rPr>
          <w:rFonts w:ascii="Arial" w:hAnsi="Arial" w:cs="Arial"/>
          <w:color w:val="000000"/>
          <w:sz w:val="20"/>
          <w:szCs w:val="20"/>
          <w:shd w:val="clear" w:color="auto" w:fill="FFFFFF"/>
        </w:rPr>
      </w:pPr>
      <w:r w:rsidRPr="00C151D4">
        <w:rPr>
          <w:rFonts w:ascii="Arial" w:hAnsi="Arial" w:cs="Arial"/>
          <w:color w:val="000000"/>
          <w:sz w:val="20"/>
          <w:szCs w:val="20"/>
          <w:shd w:val="clear" w:color="auto" w:fill="FFFFFF"/>
        </w:rPr>
        <w:t>Hvala Božici Hržan na velikoj pomoći pri izv</w:t>
      </w:r>
      <w:r w:rsidR="001A597C">
        <w:rPr>
          <w:rFonts w:ascii="Arial" w:hAnsi="Arial" w:cs="Arial"/>
          <w:color w:val="000000"/>
          <w:sz w:val="20"/>
          <w:szCs w:val="20"/>
          <w:shd w:val="clear" w:color="auto" w:fill="FFFFFF"/>
        </w:rPr>
        <w:t>o</w:t>
      </w:r>
      <w:r w:rsidRPr="00C151D4">
        <w:rPr>
          <w:rFonts w:ascii="Arial" w:hAnsi="Arial" w:cs="Arial"/>
          <w:color w:val="000000"/>
          <w:sz w:val="20"/>
          <w:szCs w:val="20"/>
          <w:shd w:val="clear" w:color="auto" w:fill="FFFFFF"/>
        </w:rPr>
        <w:t>đenju svih pokusa.</w:t>
      </w:r>
    </w:p>
    <w:p w14:paraId="555A7FA4" w14:textId="35838EB5" w:rsidR="00F12B45" w:rsidRPr="001A597C" w:rsidRDefault="00F12B45" w:rsidP="00F12B45">
      <w:pPr>
        <w:pStyle w:val="ListParagraph"/>
        <w:numPr>
          <w:ilvl w:val="0"/>
          <w:numId w:val="8"/>
        </w:numPr>
        <w:spacing w:line="360" w:lineRule="auto"/>
        <w:outlineLvl w:val="1"/>
        <w:rPr>
          <w:rFonts w:ascii="Arial" w:hAnsi="Arial" w:cs="Arial"/>
          <w:b/>
          <w:color w:val="000000"/>
          <w:shd w:val="clear" w:color="auto" w:fill="FFFFFF"/>
        </w:rPr>
      </w:pPr>
      <w:r w:rsidRPr="001A597C">
        <w:rPr>
          <w:rFonts w:ascii="Arial" w:hAnsi="Arial" w:cs="Arial"/>
          <w:b/>
        </w:rPr>
        <w:t>P</w:t>
      </w:r>
      <w:r w:rsidR="00D87EDE">
        <w:rPr>
          <w:rFonts w:ascii="Arial" w:hAnsi="Arial" w:cs="Arial"/>
          <w:b/>
        </w:rPr>
        <w:t xml:space="preserve">OPIS LITERATURE </w:t>
      </w:r>
      <w:r w:rsidR="00D87EDE">
        <w:rPr>
          <w:rFonts w:ascii="Arial" w:hAnsi="Arial" w:cs="Arial"/>
          <w:b/>
        </w:rPr>
        <w:br/>
      </w:r>
    </w:p>
    <w:p w14:paraId="1C471938" w14:textId="4A363A03" w:rsidR="00171F8E" w:rsidRPr="00171F8E" w:rsidRDefault="008C3B25" w:rsidP="00171F8E">
      <w:pPr>
        <w:widowControl w:val="0"/>
        <w:autoSpaceDE w:val="0"/>
        <w:autoSpaceDN w:val="0"/>
        <w:adjustRightInd w:val="0"/>
        <w:spacing w:line="360" w:lineRule="auto"/>
        <w:ind w:left="480" w:hanging="480"/>
        <w:rPr>
          <w:rFonts w:ascii="Calibri" w:hAnsi="Calibri" w:cs="Calibri"/>
          <w:noProof/>
          <w:szCs w:val="24"/>
        </w:rPr>
      </w:pPr>
      <w:r>
        <w:fldChar w:fldCharType="begin" w:fldLock="1"/>
      </w:r>
      <w:r>
        <w:instrText xml:space="preserve">ADDIN Mendeley Bibliography CSL_BIBLIOGRAPHY </w:instrText>
      </w:r>
      <w:r>
        <w:fldChar w:fldCharType="separate"/>
      </w:r>
      <w:r w:rsidR="00171F8E" w:rsidRPr="00171F8E">
        <w:rPr>
          <w:rFonts w:ascii="Calibri" w:hAnsi="Calibri" w:cs="Calibri"/>
          <w:noProof/>
          <w:szCs w:val="24"/>
        </w:rPr>
        <w:t xml:space="preserve">Aebi, H. (1984). Catalase in vitro. </w:t>
      </w:r>
      <w:r w:rsidR="00171F8E" w:rsidRPr="00171F8E">
        <w:rPr>
          <w:rFonts w:ascii="Calibri" w:hAnsi="Calibri" w:cs="Calibri"/>
          <w:i/>
          <w:iCs/>
          <w:noProof/>
          <w:szCs w:val="24"/>
        </w:rPr>
        <w:t>Methods in Enzymology</w:t>
      </w:r>
      <w:r w:rsidR="00171F8E" w:rsidRPr="00171F8E">
        <w:rPr>
          <w:rFonts w:ascii="Calibri" w:hAnsi="Calibri" w:cs="Calibri"/>
          <w:noProof/>
          <w:szCs w:val="24"/>
        </w:rPr>
        <w:t xml:space="preserve">, </w:t>
      </w:r>
      <w:r w:rsidR="00171F8E" w:rsidRPr="00171F8E">
        <w:rPr>
          <w:rFonts w:ascii="Calibri" w:hAnsi="Calibri" w:cs="Calibri"/>
          <w:i/>
          <w:iCs/>
          <w:noProof/>
          <w:szCs w:val="24"/>
        </w:rPr>
        <w:t>105</w:t>
      </w:r>
      <w:r w:rsidR="00171F8E" w:rsidRPr="00171F8E">
        <w:rPr>
          <w:rFonts w:ascii="Calibri" w:hAnsi="Calibri" w:cs="Calibri"/>
          <w:noProof/>
          <w:szCs w:val="24"/>
        </w:rPr>
        <w:t>, 121–126. http://doi.org/10.1016/S0076-6879(84)05016-3</w:t>
      </w:r>
    </w:p>
    <w:p w14:paraId="6E9F2B18" w14:textId="49AF2FF9"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Agrawal, R., Tyagi, E., Shukla, R., &amp; Nath, C. (2011). Insulin receptor signaling in rat hippocampus: A study in STZ (ICV) induced memory deficit model. </w:t>
      </w:r>
      <w:r w:rsidRPr="00171F8E">
        <w:rPr>
          <w:rFonts w:ascii="Calibri" w:hAnsi="Calibri" w:cs="Calibri"/>
          <w:i/>
          <w:iCs/>
          <w:noProof/>
          <w:szCs w:val="24"/>
        </w:rPr>
        <w:t>European Neuropsychopharmacology</w:t>
      </w:r>
      <w:r w:rsidRPr="00171F8E">
        <w:rPr>
          <w:rFonts w:ascii="Calibri" w:hAnsi="Calibri" w:cs="Calibri"/>
          <w:noProof/>
          <w:szCs w:val="24"/>
        </w:rPr>
        <w:t xml:space="preserve">, </w:t>
      </w:r>
      <w:r w:rsidRPr="00171F8E">
        <w:rPr>
          <w:rFonts w:ascii="Calibri" w:hAnsi="Calibri" w:cs="Calibri"/>
          <w:i/>
          <w:iCs/>
          <w:noProof/>
          <w:szCs w:val="24"/>
        </w:rPr>
        <w:t>21</w:t>
      </w:r>
      <w:r w:rsidRPr="00171F8E">
        <w:rPr>
          <w:rFonts w:ascii="Calibri" w:hAnsi="Calibri" w:cs="Calibri"/>
          <w:noProof/>
          <w:szCs w:val="24"/>
        </w:rPr>
        <w:t>(3), 261–273. http://doi.org/10.1016/j.euroneuro.2010.11.009</w:t>
      </w:r>
    </w:p>
    <w:p w14:paraId="6B4528EF"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Ballard, C., Gauthier, S., Corbett, A., Brayne, C., Aarsland, D., &amp; Jones, E. (2011). Alzheimer’s disease. </w:t>
      </w:r>
      <w:r w:rsidRPr="00171F8E">
        <w:rPr>
          <w:rFonts w:ascii="Calibri" w:hAnsi="Calibri" w:cs="Calibri"/>
          <w:i/>
          <w:iCs/>
          <w:noProof/>
          <w:szCs w:val="24"/>
        </w:rPr>
        <w:t>The Lancet</w:t>
      </w:r>
      <w:r w:rsidRPr="00171F8E">
        <w:rPr>
          <w:rFonts w:ascii="Calibri" w:hAnsi="Calibri" w:cs="Calibri"/>
          <w:noProof/>
          <w:szCs w:val="24"/>
        </w:rPr>
        <w:t xml:space="preserve">, </w:t>
      </w:r>
      <w:r w:rsidRPr="00171F8E">
        <w:rPr>
          <w:rFonts w:ascii="Calibri" w:hAnsi="Calibri" w:cs="Calibri"/>
          <w:i/>
          <w:iCs/>
          <w:noProof/>
          <w:szCs w:val="24"/>
        </w:rPr>
        <w:t>377</w:t>
      </w:r>
      <w:r w:rsidRPr="00171F8E">
        <w:rPr>
          <w:rFonts w:ascii="Calibri" w:hAnsi="Calibri" w:cs="Calibri"/>
          <w:noProof/>
          <w:szCs w:val="24"/>
        </w:rPr>
        <w:t>(9770), 1019–1031. http://doi.org/10.1016/S0140-6736(10)61349-9</w:t>
      </w:r>
    </w:p>
    <w:p w14:paraId="57404458"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Biasibetti, R., Almeida Dos Santos, J. P., Rodrigues, L., Wartchow, K. M., Suardi, L. Z., Nardin, P., … Gonçalves, C.-A. (2017). Hippocampal changes in STZ-model of Alzheimer’s disease are dependent on sex. </w:t>
      </w:r>
      <w:r w:rsidRPr="00171F8E">
        <w:rPr>
          <w:rFonts w:ascii="Calibri" w:hAnsi="Calibri" w:cs="Calibri"/>
          <w:i/>
          <w:iCs/>
          <w:noProof/>
          <w:szCs w:val="24"/>
        </w:rPr>
        <w:t>Behavioural Brain Research</w:t>
      </w:r>
      <w:r w:rsidRPr="00171F8E">
        <w:rPr>
          <w:rFonts w:ascii="Calibri" w:hAnsi="Calibri" w:cs="Calibri"/>
          <w:noProof/>
          <w:szCs w:val="24"/>
        </w:rPr>
        <w:t xml:space="preserve">, </w:t>
      </w:r>
      <w:r w:rsidRPr="00171F8E">
        <w:rPr>
          <w:rFonts w:ascii="Calibri" w:hAnsi="Calibri" w:cs="Calibri"/>
          <w:i/>
          <w:iCs/>
          <w:noProof/>
          <w:szCs w:val="24"/>
        </w:rPr>
        <w:t>316</w:t>
      </w:r>
      <w:r w:rsidRPr="00171F8E">
        <w:rPr>
          <w:rFonts w:ascii="Calibri" w:hAnsi="Calibri" w:cs="Calibri"/>
          <w:noProof/>
          <w:szCs w:val="24"/>
        </w:rPr>
        <w:t xml:space="preserve">, 205–214. </w:t>
      </w:r>
      <w:r w:rsidRPr="00171F8E">
        <w:rPr>
          <w:rFonts w:ascii="Calibri" w:hAnsi="Calibri" w:cs="Calibri"/>
          <w:noProof/>
          <w:szCs w:val="24"/>
        </w:rPr>
        <w:lastRenderedPageBreak/>
        <w:t>http://doi.org/10.1016/j.bbr.2016.08.057</w:t>
      </w:r>
    </w:p>
    <w:p w14:paraId="578AD6FC"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Blake, C. B., &amp; Smith, B. N. (2014). cAMP-dependent insulin modulation of synaptic inhibition in neurons of the dorsal motor nucleus of the vagus is altered in diabetic mice. </w:t>
      </w:r>
      <w:r w:rsidRPr="00171F8E">
        <w:rPr>
          <w:rFonts w:ascii="Calibri" w:hAnsi="Calibri" w:cs="Calibri"/>
          <w:i/>
          <w:iCs/>
          <w:noProof/>
          <w:szCs w:val="24"/>
        </w:rPr>
        <w:t>American Journal of Physiology. Regulatory, Integrative and Comparative Physiology</w:t>
      </w:r>
      <w:r w:rsidRPr="00171F8E">
        <w:rPr>
          <w:rFonts w:ascii="Calibri" w:hAnsi="Calibri" w:cs="Calibri"/>
          <w:noProof/>
          <w:szCs w:val="24"/>
        </w:rPr>
        <w:t xml:space="preserve">, </w:t>
      </w:r>
      <w:r w:rsidRPr="00171F8E">
        <w:rPr>
          <w:rFonts w:ascii="Calibri" w:hAnsi="Calibri" w:cs="Calibri"/>
          <w:i/>
          <w:iCs/>
          <w:noProof/>
          <w:szCs w:val="24"/>
        </w:rPr>
        <w:t>307</w:t>
      </w:r>
      <w:r w:rsidRPr="00171F8E">
        <w:rPr>
          <w:rFonts w:ascii="Calibri" w:hAnsi="Calibri" w:cs="Calibri"/>
          <w:noProof/>
          <w:szCs w:val="24"/>
        </w:rPr>
        <w:t>(6), R711-20. http://doi.org/10.1152/ajpregu.00138.2014</w:t>
      </w:r>
    </w:p>
    <w:p w14:paraId="0466546C"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Bloch, K., Gil-Ad, I., Vanichkin, A., Hornfeld, S. H., Koroukhov, N., Taler, M., … Weizman, A. (2017). Intracerebroventricular Streptozotocin Induces Obesity and Dementia in Lewis Rats. </w:t>
      </w:r>
      <w:r w:rsidRPr="00171F8E">
        <w:rPr>
          <w:rFonts w:ascii="Calibri" w:hAnsi="Calibri" w:cs="Calibri"/>
          <w:i/>
          <w:iCs/>
          <w:noProof/>
          <w:szCs w:val="24"/>
        </w:rPr>
        <w:t>Journal of Alzheimer’s Disease</w:t>
      </w:r>
      <w:r w:rsidRPr="00171F8E">
        <w:rPr>
          <w:rFonts w:ascii="Calibri" w:hAnsi="Calibri" w:cs="Calibri"/>
          <w:noProof/>
          <w:szCs w:val="24"/>
        </w:rPr>
        <w:t xml:space="preserve">, </w:t>
      </w:r>
      <w:r w:rsidRPr="00171F8E">
        <w:rPr>
          <w:rFonts w:ascii="Calibri" w:hAnsi="Calibri" w:cs="Calibri"/>
          <w:i/>
          <w:iCs/>
          <w:noProof/>
          <w:szCs w:val="24"/>
        </w:rPr>
        <w:t>60</w:t>
      </w:r>
      <w:r w:rsidRPr="00171F8E">
        <w:rPr>
          <w:rFonts w:ascii="Calibri" w:hAnsi="Calibri" w:cs="Calibri"/>
          <w:noProof/>
          <w:szCs w:val="24"/>
        </w:rPr>
        <w:t>(1), 121–136. http://doi.org/10.3233/JAD-161289</w:t>
      </w:r>
    </w:p>
    <w:p w14:paraId="64C162A9"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Chavan, S. S., Pavlov, V. A., &amp; Tracey, K. J. (2017). Mechanisms and Therapeutic Relevance of Neuro-immune Communication. </w:t>
      </w:r>
      <w:r w:rsidRPr="00171F8E">
        <w:rPr>
          <w:rFonts w:ascii="Calibri" w:hAnsi="Calibri" w:cs="Calibri"/>
          <w:i/>
          <w:iCs/>
          <w:noProof/>
          <w:szCs w:val="24"/>
        </w:rPr>
        <w:t>Immunity</w:t>
      </w:r>
      <w:r w:rsidRPr="00171F8E">
        <w:rPr>
          <w:rFonts w:ascii="Calibri" w:hAnsi="Calibri" w:cs="Calibri"/>
          <w:noProof/>
          <w:szCs w:val="24"/>
        </w:rPr>
        <w:t xml:space="preserve">, </w:t>
      </w:r>
      <w:r w:rsidRPr="00171F8E">
        <w:rPr>
          <w:rFonts w:ascii="Calibri" w:hAnsi="Calibri" w:cs="Calibri"/>
          <w:i/>
          <w:iCs/>
          <w:noProof/>
          <w:szCs w:val="24"/>
        </w:rPr>
        <w:t>46</w:t>
      </w:r>
      <w:r w:rsidRPr="00171F8E">
        <w:rPr>
          <w:rFonts w:ascii="Calibri" w:hAnsi="Calibri" w:cs="Calibri"/>
          <w:noProof/>
          <w:szCs w:val="24"/>
        </w:rPr>
        <w:t>(6), 927–942. http://doi.org/10.1016/j.immuni.2017.06.008</w:t>
      </w:r>
    </w:p>
    <w:p w14:paraId="69F2ECC5"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Correia, S. C., Santos, R. X., Perry, G., Zhu, X., Moreira, P. I., &amp; Smith, M. A. (2011). Insulin-resistant brain state: The culprit in sporadic Alzheimer’s disease? </w:t>
      </w:r>
      <w:r w:rsidRPr="00171F8E">
        <w:rPr>
          <w:rFonts w:ascii="Calibri" w:hAnsi="Calibri" w:cs="Calibri"/>
          <w:i/>
          <w:iCs/>
          <w:noProof/>
          <w:szCs w:val="24"/>
        </w:rPr>
        <w:t>Ageing Research Reviews</w:t>
      </w:r>
      <w:r w:rsidRPr="00171F8E">
        <w:rPr>
          <w:rFonts w:ascii="Calibri" w:hAnsi="Calibri" w:cs="Calibri"/>
          <w:noProof/>
          <w:szCs w:val="24"/>
        </w:rPr>
        <w:t xml:space="preserve">, </w:t>
      </w:r>
      <w:r w:rsidRPr="00171F8E">
        <w:rPr>
          <w:rFonts w:ascii="Calibri" w:hAnsi="Calibri" w:cs="Calibri"/>
          <w:i/>
          <w:iCs/>
          <w:noProof/>
          <w:szCs w:val="24"/>
        </w:rPr>
        <w:t>10</w:t>
      </w:r>
      <w:r w:rsidRPr="00171F8E">
        <w:rPr>
          <w:rFonts w:ascii="Calibri" w:hAnsi="Calibri" w:cs="Calibri"/>
          <w:noProof/>
          <w:szCs w:val="24"/>
        </w:rPr>
        <w:t>(2), 264–273. http://doi.org/10.1016/j.arr.2011.01.001</w:t>
      </w:r>
    </w:p>
    <w:p w14:paraId="277239AE"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Elder, G. A., Gama Sosa, M. A., &amp; De Gasperi, R. (2010). Transgenic mouse models of Alzheimer’s disease. </w:t>
      </w:r>
      <w:r w:rsidRPr="00171F8E">
        <w:rPr>
          <w:rFonts w:ascii="Calibri" w:hAnsi="Calibri" w:cs="Calibri"/>
          <w:i/>
          <w:iCs/>
          <w:noProof/>
          <w:szCs w:val="24"/>
        </w:rPr>
        <w:t>The Mount Sinai Journal of Medicine, New York</w:t>
      </w:r>
      <w:r w:rsidRPr="00171F8E">
        <w:rPr>
          <w:rFonts w:ascii="Calibri" w:hAnsi="Calibri" w:cs="Calibri"/>
          <w:noProof/>
          <w:szCs w:val="24"/>
        </w:rPr>
        <w:t xml:space="preserve">, </w:t>
      </w:r>
      <w:r w:rsidRPr="00171F8E">
        <w:rPr>
          <w:rFonts w:ascii="Calibri" w:hAnsi="Calibri" w:cs="Calibri"/>
          <w:i/>
          <w:iCs/>
          <w:noProof/>
          <w:szCs w:val="24"/>
        </w:rPr>
        <w:t>77</w:t>
      </w:r>
      <w:r w:rsidRPr="00171F8E">
        <w:rPr>
          <w:rFonts w:ascii="Calibri" w:hAnsi="Calibri" w:cs="Calibri"/>
          <w:noProof/>
          <w:szCs w:val="24"/>
        </w:rPr>
        <w:t>(1), 69–81. http://doi.org/10.1002/msj.20159</w:t>
      </w:r>
    </w:p>
    <w:p w14:paraId="641B8234"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Fan, Y.-C., Hsu, J.-L., Tung, H.-Y., Chou, C.-C., &amp; Bai, C.-H. (2017). Increased dementia risk predominantly in diabetes mellitus rather than in hypertension or hyperlipidemia: a population-based cohort study. </w:t>
      </w:r>
      <w:r w:rsidRPr="00171F8E">
        <w:rPr>
          <w:rFonts w:ascii="Calibri" w:hAnsi="Calibri" w:cs="Calibri"/>
          <w:i/>
          <w:iCs/>
          <w:noProof/>
          <w:szCs w:val="24"/>
        </w:rPr>
        <w:t>Alzheimer’s Research &amp; Therapy</w:t>
      </w:r>
      <w:r w:rsidRPr="00171F8E">
        <w:rPr>
          <w:rFonts w:ascii="Calibri" w:hAnsi="Calibri" w:cs="Calibri"/>
          <w:noProof/>
          <w:szCs w:val="24"/>
        </w:rPr>
        <w:t xml:space="preserve">, </w:t>
      </w:r>
      <w:r w:rsidRPr="00171F8E">
        <w:rPr>
          <w:rFonts w:ascii="Calibri" w:hAnsi="Calibri" w:cs="Calibri"/>
          <w:i/>
          <w:iCs/>
          <w:noProof/>
          <w:szCs w:val="24"/>
        </w:rPr>
        <w:t>9</w:t>
      </w:r>
      <w:r w:rsidRPr="00171F8E">
        <w:rPr>
          <w:rFonts w:ascii="Calibri" w:hAnsi="Calibri" w:cs="Calibri"/>
          <w:noProof/>
          <w:szCs w:val="24"/>
        </w:rPr>
        <w:t>(1), 7. http://doi.org/10.1186/s13195-017-0236-z</w:t>
      </w:r>
    </w:p>
    <w:p w14:paraId="0E5EF55D"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Filippi, B. M., Bassiri, A., Abraham, M. A., Duca, F. A., Yue, J. T. Y., &amp; Lam, T. K. T. (2014). Insulin Signals Through the Dorsal Vagal Complex to Regulate Energy Balance. </w:t>
      </w:r>
      <w:r w:rsidRPr="00171F8E">
        <w:rPr>
          <w:rFonts w:ascii="Calibri" w:hAnsi="Calibri" w:cs="Calibri"/>
          <w:i/>
          <w:iCs/>
          <w:noProof/>
          <w:szCs w:val="24"/>
        </w:rPr>
        <w:t>Diabetes</w:t>
      </w:r>
      <w:r w:rsidRPr="00171F8E">
        <w:rPr>
          <w:rFonts w:ascii="Calibri" w:hAnsi="Calibri" w:cs="Calibri"/>
          <w:noProof/>
          <w:szCs w:val="24"/>
        </w:rPr>
        <w:t xml:space="preserve">, </w:t>
      </w:r>
      <w:r w:rsidRPr="00171F8E">
        <w:rPr>
          <w:rFonts w:ascii="Calibri" w:hAnsi="Calibri" w:cs="Calibri"/>
          <w:i/>
          <w:iCs/>
          <w:noProof/>
          <w:szCs w:val="24"/>
        </w:rPr>
        <w:t>63</w:t>
      </w:r>
      <w:r w:rsidRPr="00171F8E">
        <w:rPr>
          <w:rFonts w:ascii="Calibri" w:hAnsi="Calibri" w:cs="Calibri"/>
          <w:noProof/>
          <w:szCs w:val="24"/>
        </w:rPr>
        <w:t>(3), 892–899. http://doi.org/10.2337/db13-1044</w:t>
      </w:r>
    </w:p>
    <w:p w14:paraId="6BF7968C"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Grinberg, L. T., Rüb, U., Ferretti, R. E. L., Nitrini, R., Farfel, J. M., Polichiso, L., … Brazilian Brain Bank Study Group. (2009). The dorsal raphe nucleus shows phospho-tau neurofibrillary changes before the transentorhinal region in Alzheimer’s disease. A precocious onset? </w:t>
      </w:r>
      <w:r w:rsidRPr="00171F8E">
        <w:rPr>
          <w:rFonts w:ascii="Calibri" w:hAnsi="Calibri" w:cs="Calibri"/>
          <w:i/>
          <w:iCs/>
          <w:noProof/>
          <w:szCs w:val="24"/>
        </w:rPr>
        <w:t>Neuropathology and Applied Neurobiology</w:t>
      </w:r>
      <w:r w:rsidRPr="00171F8E">
        <w:rPr>
          <w:rFonts w:ascii="Calibri" w:hAnsi="Calibri" w:cs="Calibri"/>
          <w:noProof/>
          <w:szCs w:val="24"/>
        </w:rPr>
        <w:t xml:space="preserve">, </w:t>
      </w:r>
      <w:r w:rsidRPr="00171F8E">
        <w:rPr>
          <w:rFonts w:ascii="Calibri" w:hAnsi="Calibri" w:cs="Calibri"/>
          <w:i/>
          <w:iCs/>
          <w:noProof/>
          <w:szCs w:val="24"/>
        </w:rPr>
        <w:t>35</w:t>
      </w:r>
      <w:r w:rsidRPr="00171F8E">
        <w:rPr>
          <w:rFonts w:ascii="Calibri" w:hAnsi="Calibri" w:cs="Calibri"/>
          <w:noProof/>
          <w:szCs w:val="24"/>
        </w:rPr>
        <w:t>(4), 406–16. http://doi.org/10.1111/j.1365-2990.2009.00997.x</w:t>
      </w:r>
    </w:p>
    <w:p w14:paraId="145767AE"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Grünblatt, E., Salkovic-Petrisic, M., Osmanovic, J., Riederer, P., &amp; Hoyer, S. (2007). Brain insulin system dysfunction in streptozotocin intracerebroventricularly treated rats generates hyperphosphorylated tau protein. </w:t>
      </w:r>
      <w:r w:rsidRPr="00171F8E">
        <w:rPr>
          <w:rFonts w:ascii="Calibri" w:hAnsi="Calibri" w:cs="Calibri"/>
          <w:i/>
          <w:iCs/>
          <w:noProof/>
          <w:szCs w:val="24"/>
        </w:rPr>
        <w:t>Journal of Neurochemistry</w:t>
      </w:r>
      <w:r w:rsidRPr="00171F8E">
        <w:rPr>
          <w:rFonts w:ascii="Calibri" w:hAnsi="Calibri" w:cs="Calibri"/>
          <w:noProof/>
          <w:szCs w:val="24"/>
        </w:rPr>
        <w:t xml:space="preserve">, </w:t>
      </w:r>
      <w:r w:rsidRPr="00171F8E">
        <w:rPr>
          <w:rFonts w:ascii="Calibri" w:hAnsi="Calibri" w:cs="Calibri"/>
          <w:i/>
          <w:iCs/>
          <w:noProof/>
          <w:szCs w:val="24"/>
        </w:rPr>
        <w:t>101</w:t>
      </w:r>
      <w:r w:rsidRPr="00171F8E">
        <w:rPr>
          <w:rFonts w:ascii="Calibri" w:hAnsi="Calibri" w:cs="Calibri"/>
          <w:noProof/>
          <w:szCs w:val="24"/>
        </w:rPr>
        <w:t xml:space="preserve">(3), 757–70. </w:t>
      </w:r>
      <w:r w:rsidRPr="00171F8E">
        <w:rPr>
          <w:rFonts w:ascii="Calibri" w:hAnsi="Calibri" w:cs="Calibri"/>
          <w:noProof/>
          <w:szCs w:val="24"/>
        </w:rPr>
        <w:lastRenderedPageBreak/>
        <w:t>http://doi.org/10.1111/j.1471-4159.2006.04368.x</w:t>
      </w:r>
    </w:p>
    <w:p w14:paraId="78314A8F"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Ho, S.-C., Liu, J.-H., &amp; Wu, R.-Y. (2003). Establishment of the mimetic aging effect in mice caused by D-galactose. </w:t>
      </w:r>
      <w:r w:rsidRPr="00171F8E">
        <w:rPr>
          <w:rFonts w:ascii="Calibri" w:hAnsi="Calibri" w:cs="Calibri"/>
          <w:i/>
          <w:iCs/>
          <w:noProof/>
          <w:szCs w:val="24"/>
        </w:rPr>
        <w:t>Biogerontology</w:t>
      </w:r>
      <w:r w:rsidRPr="00171F8E">
        <w:rPr>
          <w:rFonts w:ascii="Calibri" w:hAnsi="Calibri" w:cs="Calibri"/>
          <w:noProof/>
          <w:szCs w:val="24"/>
        </w:rPr>
        <w:t xml:space="preserve">, </w:t>
      </w:r>
      <w:r w:rsidRPr="00171F8E">
        <w:rPr>
          <w:rFonts w:ascii="Calibri" w:hAnsi="Calibri" w:cs="Calibri"/>
          <w:i/>
          <w:iCs/>
          <w:noProof/>
          <w:szCs w:val="24"/>
        </w:rPr>
        <w:t>4</w:t>
      </w:r>
      <w:r w:rsidRPr="00171F8E">
        <w:rPr>
          <w:rFonts w:ascii="Calibri" w:hAnsi="Calibri" w:cs="Calibri"/>
          <w:noProof/>
          <w:szCs w:val="24"/>
        </w:rPr>
        <w:t>(1), 15–18. http://doi.org/10.1023/A:1022417102206</w:t>
      </w:r>
    </w:p>
    <w:p w14:paraId="160653AD"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Hoffman, G. E., Smith, M. S., &amp; Verbalis, J. G. (1993). c-Fos and Related Immediate Early Gene Products as Markers of Activity in Neuroendocrine Systems. </w:t>
      </w:r>
      <w:r w:rsidRPr="00171F8E">
        <w:rPr>
          <w:rFonts w:ascii="Calibri" w:hAnsi="Calibri" w:cs="Calibri"/>
          <w:i/>
          <w:iCs/>
          <w:noProof/>
          <w:szCs w:val="24"/>
        </w:rPr>
        <w:t>Frontiers in Neuroendocrinology</w:t>
      </w:r>
      <w:r w:rsidRPr="00171F8E">
        <w:rPr>
          <w:rFonts w:ascii="Calibri" w:hAnsi="Calibri" w:cs="Calibri"/>
          <w:noProof/>
          <w:szCs w:val="24"/>
        </w:rPr>
        <w:t xml:space="preserve">, </w:t>
      </w:r>
      <w:r w:rsidRPr="00171F8E">
        <w:rPr>
          <w:rFonts w:ascii="Calibri" w:hAnsi="Calibri" w:cs="Calibri"/>
          <w:i/>
          <w:iCs/>
          <w:noProof/>
          <w:szCs w:val="24"/>
        </w:rPr>
        <w:t>14</w:t>
      </w:r>
      <w:r w:rsidRPr="00171F8E">
        <w:rPr>
          <w:rFonts w:ascii="Calibri" w:hAnsi="Calibri" w:cs="Calibri"/>
          <w:noProof/>
          <w:szCs w:val="24"/>
        </w:rPr>
        <w:t>(3), 173–213. http://doi.org/10.1006/frne.1993.1006</w:t>
      </w:r>
    </w:p>
    <w:p w14:paraId="0BC4D3EA" w14:textId="31200AF8"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Hoyer, S., &amp; Lannert, H. (2007). Long-term abnormalities in brain glucose/energy metabolism after inhibition of the neuronal insulin receptor: implication of tau-protein. </w:t>
      </w:r>
      <w:r w:rsidRPr="00171F8E">
        <w:rPr>
          <w:rFonts w:ascii="Calibri" w:hAnsi="Calibri" w:cs="Calibri"/>
          <w:i/>
          <w:iCs/>
          <w:noProof/>
          <w:szCs w:val="24"/>
        </w:rPr>
        <w:t>Journal of Neural Transmission. Supplementum</w:t>
      </w:r>
      <w:r w:rsidRPr="00171F8E">
        <w:rPr>
          <w:rFonts w:ascii="Calibri" w:hAnsi="Calibri" w:cs="Calibri"/>
          <w:noProof/>
          <w:szCs w:val="24"/>
        </w:rPr>
        <w:t xml:space="preserve">, (72), 195–202. </w:t>
      </w:r>
    </w:p>
    <w:p w14:paraId="1902771A"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Karran, E., Mercken, M., &amp; Strooper, B. De. (2011). The amyloid cascade hypothesis for Alzheimer’s disease: an appraisal for the development of therapeutics. </w:t>
      </w:r>
      <w:r w:rsidRPr="00171F8E">
        <w:rPr>
          <w:rFonts w:ascii="Calibri" w:hAnsi="Calibri" w:cs="Calibri"/>
          <w:i/>
          <w:iCs/>
          <w:noProof/>
          <w:szCs w:val="24"/>
        </w:rPr>
        <w:t>Nature Reviews Drug Discovery</w:t>
      </w:r>
      <w:r w:rsidRPr="00171F8E">
        <w:rPr>
          <w:rFonts w:ascii="Calibri" w:hAnsi="Calibri" w:cs="Calibri"/>
          <w:noProof/>
          <w:szCs w:val="24"/>
        </w:rPr>
        <w:t xml:space="preserve">, </w:t>
      </w:r>
      <w:r w:rsidRPr="00171F8E">
        <w:rPr>
          <w:rFonts w:ascii="Calibri" w:hAnsi="Calibri" w:cs="Calibri"/>
          <w:i/>
          <w:iCs/>
          <w:noProof/>
          <w:szCs w:val="24"/>
        </w:rPr>
        <w:t>10</w:t>
      </w:r>
      <w:r w:rsidRPr="00171F8E">
        <w:rPr>
          <w:rFonts w:ascii="Calibri" w:hAnsi="Calibri" w:cs="Calibri"/>
          <w:noProof/>
          <w:szCs w:val="24"/>
        </w:rPr>
        <w:t>(9), 698–712. http://doi.org/10.1038/nrd3505</w:t>
      </w:r>
    </w:p>
    <w:p w14:paraId="0E9FD1AD"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Kim, J., Kundu, M., Viollet, B., &amp; Guan, K.-L. (2011). AMPK and mTOR regulate autophagy through direct phosphorylation of Ulk1. </w:t>
      </w:r>
      <w:r w:rsidRPr="00171F8E">
        <w:rPr>
          <w:rFonts w:ascii="Calibri" w:hAnsi="Calibri" w:cs="Calibri"/>
          <w:i/>
          <w:iCs/>
          <w:noProof/>
          <w:szCs w:val="24"/>
        </w:rPr>
        <w:t>Nature Cell Biology</w:t>
      </w:r>
      <w:r w:rsidRPr="00171F8E">
        <w:rPr>
          <w:rFonts w:ascii="Calibri" w:hAnsi="Calibri" w:cs="Calibri"/>
          <w:noProof/>
          <w:szCs w:val="24"/>
        </w:rPr>
        <w:t xml:space="preserve">, </w:t>
      </w:r>
      <w:r w:rsidRPr="00171F8E">
        <w:rPr>
          <w:rFonts w:ascii="Calibri" w:hAnsi="Calibri" w:cs="Calibri"/>
          <w:i/>
          <w:iCs/>
          <w:noProof/>
          <w:szCs w:val="24"/>
        </w:rPr>
        <w:t>13</w:t>
      </w:r>
      <w:r w:rsidRPr="00171F8E">
        <w:rPr>
          <w:rFonts w:ascii="Calibri" w:hAnsi="Calibri" w:cs="Calibri"/>
          <w:noProof/>
          <w:szCs w:val="24"/>
        </w:rPr>
        <w:t>(2), 132–141. http://doi.org/10.1038/ncb2152</w:t>
      </w:r>
    </w:p>
    <w:p w14:paraId="243B9A4A"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Knezovic, A., Barilar, J. O., Babic, A., Bagaric, R., Farkas, V., Riederer, P., &amp; Salkovic-Petrisic, M. (2018). Glucagon-like peptide-1 mediates effects of oral galactose in streptozotocin-induced rat model of sporadic Alzheimer’s disease. </w:t>
      </w:r>
      <w:r w:rsidRPr="00171F8E">
        <w:rPr>
          <w:rFonts w:ascii="Calibri" w:hAnsi="Calibri" w:cs="Calibri"/>
          <w:i/>
          <w:iCs/>
          <w:noProof/>
          <w:szCs w:val="24"/>
        </w:rPr>
        <w:t>Neuropharmacology</w:t>
      </w:r>
      <w:r w:rsidRPr="00171F8E">
        <w:rPr>
          <w:rFonts w:ascii="Calibri" w:hAnsi="Calibri" w:cs="Calibri"/>
          <w:noProof/>
          <w:szCs w:val="24"/>
        </w:rPr>
        <w:t>. http://doi.org/10.1016/j.neuropharm.2018.02.027</w:t>
      </w:r>
    </w:p>
    <w:p w14:paraId="1D9AC474" w14:textId="0ADD94FF"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Knezovic, A., Loncar, A., Homolak, J., Smailovic, U., Osmanovic Barilar, J., Ganoci, L., … Salkovic-Petrisic, M. (2017). Rat brain glucose transporter-2, insulin receptor and glial expression are acute targets of intracerebroventricular streptozotocin: risk</w:t>
      </w:r>
      <w:r w:rsidR="001A597C">
        <w:rPr>
          <w:rFonts w:ascii="Calibri" w:hAnsi="Calibri" w:cs="Calibri"/>
          <w:noProof/>
          <w:szCs w:val="24"/>
        </w:rPr>
        <w:t xml:space="preserve"> factors for sporadic Alzheimer'</w:t>
      </w:r>
      <w:r w:rsidRPr="00171F8E">
        <w:rPr>
          <w:rFonts w:ascii="Calibri" w:hAnsi="Calibri" w:cs="Calibri"/>
          <w:noProof/>
          <w:szCs w:val="24"/>
        </w:rPr>
        <w:t xml:space="preserve">s disease? </w:t>
      </w:r>
      <w:r w:rsidRPr="00171F8E">
        <w:rPr>
          <w:rFonts w:ascii="Calibri" w:hAnsi="Calibri" w:cs="Calibri"/>
          <w:i/>
          <w:iCs/>
          <w:noProof/>
          <w:szCs w:val="24"/>
        </w:rPr>
        <w:t>Journal of Neural Transmission</w:t>
      </w:r>
      <w:r w:rsidRPr="00171F8E">
        <w:rPr>
          <w:rFonts w:ascii="Calibri" w:hAnsi="Calibri" w:cs="Calibri"/>
          <w:noProof/>
          <w:szCs w:val="24"/>
        </w:rPr>
        <w:t xml:space="preserve">, </w:t>
      </w:r>
      <w:r w:rsidRPr="00171F8E">
        <w:rPr>
          <w:rFonts w:ascii="Calibri" w:hAnsi="Calibri" w:cs="Calibri"/>
          <w:i/>
          <w:iCs/>
          <w:noProof/>
          <w:szCs w:val="24"/>
        </w:rPr>
        <w:t>124</w:t>
      </w:r>
      <w:r w:rsidRPr="00171F8E">
        <w:rPr>
          <w:rFonts w:ascii="Calibri" w:hAnsi="Calibri" w:cs="Calibri"/>
          <w:noProof/>
          <w:szCs w:val="24"/>
        </w:rPr>
        <w:t>(6), 695–708. http://doi.org/10.1007/s00702-017-1727-6</w:t>
      </w:r>
    </w:p>
    <w:p w14:paraId="556F5920"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Knezovic, A., Osmanovic-Barilar, J., Curlin, M., Hof, P. R., Simic, G., Riederer, P., &amp; Salkovic-Petrisic, M. (2015). Staging of cognitive deficits and neuropathological and ultrastructural changes in streptozotocin-induced rat model of Alzheimer’s disease. </w:t>
      </w:r>
      <w:r w:rsidRPr="00171F8E">
        <w:rPr>
          <w:rFonts w:ascii="Calibri" w:hAnsi="Calibri" w:cs="Calibri"/>
          <w:i/>
          <w:iCs/>
          <w:noProof/>
          <w:szCs w:val="24"/>
        </w:rPr>
        <w:t>Journal of Neural Transmission (Vienna, Austria : 1996)</w:t>
      </w:r>
      <w:r w:rsidRPr="00171F8E">
        <w:rPr>
          <w:rFonts w:ascii="Calibri" w:hAnsi="Calibri" w:cs="Calibri"/>
          <w:noProof/>
          <w:szCs w:val="24"/>
        </w:rPr>
        <w:t xml:space="preserve">, </w:t>
      </w:r>
      <w:r w:rsidRPr="00171F8E">
        <w:rPr>
          <w:rFonts w:ascii="Calibri" w:hAnsi="Calibri" w:cs="Calibri"/>
          <w:i/>
          <w:iCs/>
          <w:noProof/>
          <w:szCs w:val="24"/>
        </w:rPr>
        <w:t>122</w:t>
      </w:r>
      <w:r w:rsidRPr="00171F8E">
        <w:rPr>
          <w:rFonts w:ascii="Calibri" w:hAnsi="Calibri" w:cs="Calibri"/>
          <w:noProof/>
          <w:szCs w:val="24"/>
        </w:rPr>
        <w:t>(4), 577–92. http://doi.org/10.1007/s00702-015-1394-4</w:t>
      </w:r>
    </w:p>
    <w:p w14:paraId="2BBB094D"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Liu, Y., Liu, F., Iqbal, K., Grundke-Iqbal, I., &amp; Gong, C.-X. (2008). Decreased glucose transporters correlate to abnormal hyperphosphorylation of tau in Alzheimer disease. </w:t>
      </w:r>
      <w:r w:rsidRPr="00171F8E">
        <w:rPr>
          <w:rFonts w:ascii="Calibri" w:hAnsi="Calibri" w:cs="Calibri"/>
          <w:i/>
          <w:iCs/>
          <w:noProof/>
          <w:szCs w:val="24"/>
        </w:rPr>
        <w:t>FEBS Letters</w:t>
      </w:r>
      <w:r w:rsidRPr="00171F8E">
        <w:rPr>
          <w:rFonts w:ascii="Calibri" w:hAnsi="Calibri" w:cs="Calibri"/>
          <w:noProof/>
          <w:szCs w:val="24"/>
        </w:rPr>
        <w:t xml:space="preserve">, </w:t>
      </w:r>
      <w:r w:rsidRPr="00171F8E">
        <w:rPr>
          <w:rFonts w:ascii="Calibri" w:hAnsi="Calibri" w:cs="Calibri"/>
          <w:i/>
          <w:iCs/>
          <w:noProof/>
          <w:szCs w:val="24"/>
        </w:rPr>
        <w:t>582</w:t>
      </w:r>
      <w:r w:rsidRPr="00171F8E">
        <w:rPr>
          <w:rFonts w:ascii="Calibri" w:hAnsi="Calibri" w:cs="Calibri"/>
          <w:noProof/>
          <w:szCs w:val="24"/>
        </w:rPr>
        <w:t>(2), 359–64. http://doi.org/10.1016/j.febslet.2007.12.035</w:t>
      </w:r>
    </w:p>
    <w:p w14:paraId="41609F4C" w14:textId="527E5349"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lastRenderedPageBreak/>
        <w:t xml:space="preserve">Lowry, O. H., Rosebrough, N. J., Farr, A. L., &amp; Randall, R. J. (1951). Protein measurement with the Folin phenol reagent. </w:t>
      </w:r>
      <w:r w:rsidRPr="00171F8E">
        <w:rPr>
          <w:rFonts w:ascii="Calibri" w:hAnsi="Calibri" w:cs="Calibri"/>
          <w:i/>
          <w:iCs/>
          <w:noProof/>
          <w:szCs w:val="24"/>
        </w:rPr>
        <w:t>The Journal of Biological Chemistry</w:t>
      </w:r>
      <w:r w:rsidRPr="00171F8E">
        <w:rPr>
          <w:rFonts w:ascii="Calibri" w:hAnsi="Calibri" w:cs="Calibri"/>
          <w:noProof/>
          <w:szCs w:val="24"/>
        </w:rPr>
        <w:t xml:space="preserve">, </w:t>
      </w:r>
      <w:r w:rsidRPr="00171F8E">
        <w:rPr>
          <w:rFonts w:ascii="Calibri" w:hAnsi="Calibri" w:cs="Calibri"/>
          <w:i/>
          <w:iCs/>
          <w:noProof/>
          <w:szCs w:val="24"/>
        </w:rPr>
        <w:t>193</w:t>
      </w:r>
      <w:r w:rsidRPr="00171F8E">
        <w:rPr>
          <w:rFonts w:ascii="Calibri" w:hAnsi="Calibri" w:cs="Calibri"/>
          <w:noProof/>
          <w:szCs w:val="24"/>
        </w:rPr>
        <w:t xml:space="preserve">(1), 265–75. </w:t>
      </w:r>
    </w:p>
    <w:p w14:paraId="32CBF5A9"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Lyness, S. A., Zarow, C., &amp; Chui, H. C. (2003). Neuron loss in key cholinergic and aminergic nuclei in Alzheimer disease: a meta-analysis. </w:t>
      </w:r>
      <w:r w:rsidRPr="00171F8E">
        <w:rPr>
          <w:rFonts w:ascii="Calibri" w:hAnsi="Calibri" w:cs="Calibri"/>
          <w:i/>
          <w:iCs/>
          <w:noProof/>
          <w:szCs w:val="24"/>
        </w:rPr>
        <w:t>Neurobiology of Aging</w:t>
      </w:r>
      <w:r w:rsidRPr="00171F8E">
        <w:rPr>
          <w:rFonts w:ascii="Calibri" w:hAnsi="Calibri" w:cs="Calibri"/>
          <w:noProof/>
          <w:szCs w:val="24"/>
        </w:rPr>
        <w:t xml:space="preserve">, </w:t>
      </w:r>
      <w:r w:rsidRPr="00171F8E">
        <w:rPr>
          <w:rFonts w:ascii="Calibri" w:hAnsi="Calibri" w:cs="Calibri"/>
          <w:i/>
          <w:iCs/>
          <w:noProof/>
          <w:szCs w:val="24"/>
        </w:rPr>
        <w:t>24</w:t>
      </w:r>
      <w:r w:rsidRPr="00171F8E">
        <w:rPr>
          <w:rFonts w:ascii="Calibri" w:hAnsi="Calibri" w:cs="Calibri"/>
          <w:noProof/>
          <w:szCs w:val="24"/>
        </w:rPr>
        <w:t>(1), 1–23. Retrieved from http://www.ncbi.nlm.nih.gov/pubmed/12493547</w:t>
      </w:r>
    </w:p>
    <w:p w14:paraId="559C2012"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Maccioni, R. B., Farías, G., Morales, I., &amp; Navarrete, L. (2010). The Revitalized Tau Hypothesis on Alzheimer’s Disease. </w:t>
      </w:r>
      <w:r w:rsidRPr="00171F8E">
        <w:rPr>
          <w:rFonts w:ascii="Calibri" w:hAnsi="Calibri" w:cs="Calibri"/>
          <w:i/>
          <w:iCs/>
          <w:noProof/>
          <w:szCs w:val="24"/>
        </w:rPr>
        <w:t>Archives of Medical Research</w:t>
      </w:r>
      <w:r w:rsidRPr="00171F8E">
        <w:rPr>
          <w:rFonts w:ascii="Calibri" w:hAnsi="Calibri" w:cs="Calibri"/>
          <w:noProof/>
          <w:szCs w:val="24"/>
        </w:rPr>
        <w:t xml:space="preserve">, </w:t>
      </w:r>
      <w:r w:rsidRPr="00171F8E">
        <w:rPr>
          <w:rFonts w:ascii="Calibri" w:hAnsi="Calibri" w:cs="Calibri"/>
          <w:i/>
          <w:iCs/>
          <w:noProof/>
          <w:szCs w:val="24"/>
        </w:rPr>
        <w:t>41</w:t>
      </w:r>
      <w:r w:rsidRPr="00171F8E">
        <w:rPr>
          <w:rFonts w:ascii="Calibri" w:hAnsi="Calibri" w:cs="Calibri"/>
          <w:noProof/>
          <w:szCs w:val="24"/>
        </w:rPr>
        <w:t>(3), 226–231. http://doi.org/10.1016/j.arcmed.2010.03.007</w:t>
      </w:r>
    </w:p>
    <w:p w14:paraId="61873DE9"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Mohandas, E., Rajmohan, V., &amp; Raghunath, B. (2009). Neurobiology of Alzheimer’s disease. </w:t>
      </w:r>
      <w:r w:rsidRPr="00171F8E">
        <w:rPr>
          <w:rFonts w:ascii="Calibri" w:hAnsi="Calibri" w:cs="Calibri"/>
          <w:i/>
          <w:iCs/>
          <w:noProof/>
          <w:szCs w:val="24"/>
        </w:rPr>
        <w:t>Indian Journal of Psychiatry</w:t>
      </w:r>
      <w:r w:rsidRPr="00171F8E">
        <w:rPr>
          <w:rFonts w:ascii="Calibri" w:hAnsi="Calibri" w:cs="Calibri"/>
          <w:noProof/>
          <w:szCs w:val="24"/>
        </w:rPr>
        <w:t xml:space="preserve">, </w:t>
      </w:r>
      <w:r w:rsidRPr="00171F8E">
        <w:rPr>
          <w:rFonts w:ascii="Calibri" w:hAnsi="Calibri" w:cs="Calibri"/>
          <w:i/>
          <w:iCs/>
          <w:noProof/>
          <w:szCs w:val="24"/>
        </w:rPr>
        <w:t>51</w:t>
      </w:r>
      <w:r w:rsidRPr="00171F8E">
        <w:rPr>
          <w:rFonts w:ascii="Calibri" w:hAnsi="Calibri" w:cs="Calibri"/>
          <w:noProof/>
          <w:szCs w:val="24"/>
        </w:rPr>
        <w:t>(1), 55–61. http://doi.org/10.4103/0019-5545.44908</w:t>
      </w:r>
    </w:p>
    <w:p w14:paraId="1C5EF8A6"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Noble, E. P., Wurtman, R. J., &amp; Axelrod, J. (1967). A simple and rapid method for injecting H3-norepinephrine into the lateral ventricle of the rat brain. </w:t>
      </w:r>
      <w:r w:rsidRPr="00171F8E">
        <w:rPr>
          <w:rFonts w:ascii="Calibri" w:hAnsi="Calibri" w:cs="Calibri"/>
          <w:i/>
          <w:iCs/>
          <w:noProof/>
          <w:szCs w:val="24"/>
        </w:rPr>
        <w:t>Life Sciences</w:t>
      </w:r>
      <w:r w:rsidRPr="00171F8E">
        <w:rPr>
          <w:rFonts w:ascii="Calibri" w:hAnsi="Calibri" w:cs="Calibri"/>
          <w:noProof/>
          <w:szCs w:val="24"/>
        </w:rPr>
        <w:t xml:space="preserve">, </w:t>
      </w:r>
      <w:r w:rsidRPr="00171F8E">
        <w:rPr>
          <w:rFonts w:ascii="Calibri" w:hAnsi="Calibri" w:cs="Calibri"/>
          <w:i/>
          <w:iCs/>
          <w:noProof/>
          <w:szCs w:val="24"/>
        </w:rPr>
        <w:t>6</w:t>
      </w:r>
      <w:r w:rsidRPr="00171F8E">
        <w:rPr>
          <w:rFonts w:ascii="Calibri" w:hAnsi="Calibri" w:cs="Calibri"/>
          <w:noProof/>
          <w:szCs w:val="24"/>
        </w:rPr>
        <w:t>(3), 281–291. http://doi.org/10.1016/0024-3205(67)90157-9</w:t>
      </w:r>
    </w:p>
    <w:p w14:paraId="0275CC74" w14:textId="76979576"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Parvizi, J., Van Hoesen, G. W., &amp; Damasio, A. (2001). The selective vulnerability of brainstem nuclei to Alzheimer’s disease. </w:t>
      </w:r>
      <w:r w:rsidRPr="00171F8E">
        <w:rPr>
          <w:rFonts w:ascii="Calibri" w:hAnsi="Calibri" w:cs="Calibri"/>
          <w:i/>
          <w:iCs/>
          <w:noProof/>
          <w:szCs w:val="24"/>
        </w:rPr>
        <w:t>Annals of Neurology</w:t>
      </w:r>
      <w:r w:rsidRPr="00171F8E">
        <w:rPr>
          <w:rFonts w:ascii="Calibri" w:hAnsi="Calibri" w:cs="Calibri"/>
          <w:noProof/>
          <w:szCs w:val="24"/>
        </w:rPr>
        <w:t xml:space="preserve">, </w:t>
      </w:r>
      <w:r w:rsidRPr="00171F8E">
        <w:rPr>
          <w:rFonts w:ascii="Calibri" w:hAnsi="Calibri" w:cs="Calibri"/>
          <w:i/>
          <w:iCs/>
          <w:noProof/>
          <w:szCs w:val="24"/>
        </w:rPr>
        <w:t>49</w:t>
      </w:r>
      <w:r w:rsidRPr="00171F8E">
        <w:rPr>
          <w:rFonts w:ascii="Calibri" w:hAnsi="Calibri" w:cs="Calibri"/>
          <w:noProof/>
          <w:szCs w:val="24"/>
        </w:rPr>
        <w:t xml:space="preserve">(1), 53–66. </w:t>
      </w:r>
    </w:p>
    <w:p w14:paraId="7C3130F0"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Pavlov, V. A., &amp; Tracey, K. J. (2012). The vagus nerve and the inflammatory reflex--linking immunity and metabolism. </w:t>
      </w:r>
      <w:r w:rsidRPr="00171F8E">
        <w:rPr>
          <w:rFonts w:ascii="Calibri" w:hAnsi="Calibri" w:cs="Calibri"/>
          <w:i/>
          <w:iCs/>
          <w:noProof/>
          <w:szCs w:val="24"/>
        </w:rPr>
        <w:t>Nature Reviews. Endocrinology</w:t>
      </w:r>
      <w:r w:rsidRPr="00171F8E">
        <w:rPr>
          <w:rFonts w:ascii="Calibri" w:hAnsi="Calibri" w:cs="Calibri"/>
          <w:noProof/>
          <w:szCs w:val="24"/>
        </w:rPr>
        <w:t xml:space="preserve">, </w:t>
      </w:r>
      <w:r w:rsidRPr="00171F8E">
        <w:rPr>
          <w:rFonts w:ascii="Calibri" w:hAnsi="Calibri" w:cs="Calibri"/>
          <w:i/>
          <w:iCs/>
          <w:noProof/>
          <w:szCs w:val="24"/>
        </w:rPr>
        <w:t>8</w:t>
      </w:r>
      <w:r w:rsidRPr="00171F8E">
        <w:rPr>
          <w:rFonts w:ascii="Calibri" w:hAnsi="Calibri" w:cs="Calibri"/>
          <w:noProof/>
          <w:szCs w:val="24"/>
        </w:rPr>
        <w:t>(12), 743–54. http://doi.org/10.1038/nrendo.2012.189</w:t>
      </w:r>
    </w:p>
    <w:p w14:paraId="062F6D3E"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Pecchi, E., Dallaporta, M., Charrier, C., Pio, J., Jean, A., Moyse, E., &amp; Troadec, J.-D. (2007). Glial fibrillary acidic protein (GFAP)-positive radial-like cells are present in the vicinity of proliferative progenitors in the nucleus tractus solitarius of adult rat. </w:t>
      </w:r>
      <w:r w:rsidRPr="00171F8E">
        <w:rPr>
          <w:rFonts w:ascii="Calibri" w:hAnsi="Calibri" w:cs="Calibri"/>
          <w:i/>
          <w:iCs/>
          <w:noProof/>
          <w:szCs w:val="24"/>
        </w:rPr>
        <w:t>The Journal of Comparative Neurology</w:t>
      </w:r>
      <w:r w:rsidRPr="00171F8E">
        <w:rPr>
          <w:rFonts w:ascii="Calibri" w:hAnsi="Calibri" w:cs="Calibri"/>
          <w:noProof/>
          <w:szCs w:val="24"/>
        </w:rPr>
        <w:t xml:space="preserve">, </w:t>
      </w:r>
      <w:r w:rsidRPr="00171F8E">
        <w:rPr>
          <w:rFonts w:ascii="Calibri" w:hAnsi="Calibri" w:cs="Calibri"/>
          <w:i/>
          <w:iCs/>
          <w:noProof/>
          <w:szCs w:val="24"/>
        </w:rPr>
        <w:t>501</w:t>
      </w:r>
      <w:r w:rsidRPr="00171F8E">
        <w:rPr>
          <w:rFonts w:ascii="Calibri" w:hAnsi="Calibri" w:cs="Calibri"/>
          <w:noProof/>
          <w:szCs w:val="24"/>
        </w:rPr>
        <w:t>(3), 353–368. http://doi.org/10.1002/cne.21259</w:t>
      </w:r>
    </w:p>
    <w:p w14:paraId="647E85EA"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Polak, T., Ehlis, A.-C., Langer, J. B. M., Plichta, M. M., Metzger, F., Ringel, T. M., &amp; Fallgatter, A. J. (2007). Non-invasive measurement of vagus activity in the brainstem – a methodological progress towards earlier diagnosis of dementias? </w:t>
      </w:r>
      <w:r w:rsidRPr="00171F8E">
        <w:rPr>
          <w:rFonts w:ascii="Calibri" w:hAnsi="Calibri" w:cs="Calibri"/>
          <w:i/>
          <w:iCs/>
          <w:noProof/>
          <w:szCs w:val="24"/>
        </w:rPr>
        <w:t>Journal of Neural Transmission</w:t>
      </w:r>
      <w:r w:rsidRPr="00171F8E">
        <w:rPr>
          <w:rFonts w:ascii="Calibri" w:hAnsi="Calibri" w:cs="Calibri"/>
          <w:noProof/>
          <w:szCs w:val="24"/>
        </w:rPr>
        <w:t xml:space="preserve">, </w:t>
      </w:r>
      <w:r w:rsidRPr="00171F8E">
        <w:rPr>
          <w:rFonts w:ascii="Calibri" w:hAnsi="Calibri" w:cs="Calibri"/>
          <w:i/>
          <w:iCs/>
          <w:noProof/>
          <w:szCs w:val="24"/>
        </w:rPr>
        <w:t>114</w:t>
      </w:r>
      <w:r w:rsidRPr="00171F8E">
        <w:rPr>
          <w:rFonts w:ascii="Calibri" w:hAnsi="Calibri" w:cs="Calibri"/>
          <w:noProof/>
          <w:szCs w:val="24"/>
        </w:rPr>
        <w:t>(5), 613–619. http://doi.org/10.1007/s00702-007-0625-8</w:t>
      </w:r>
    </w:p>
    <w:p w14:paraId="64E44A28"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Prabhakar, P. V., Reddy, U. A., Singh, S. P., Balasubramanyam, A., Rahman, M. F., Indu Kumari, S., … Mahboob, M. (2012). Oxidative stress induced by aluminum oxide nanomaterials after acute oral treatment in Wistar rats. </w:t>
      </w:r>
      <w:r w:rsidRPr="00171F8E">
        <w:rPr>
          <w:rFonts w:ascii="Calibri" w:hAnsi="Calibri" w:cs="Calibri"/>
          <w:i/>
          <w:iCs/>
          <w:noProof/>
          <w:szCs w:val="24"/>
        </w:rPr>
        <w:t>Journal of Applied Toxicology</w:t>
      </w:r>
      <w:r w:rsidRPr="00171F8E">
        <w:rPr>
          <w:rFonts w:ascii="Calibri" w:hAnsi="Calibri" w:cs="Calibri"/>
          <w:noProof/>
          <w:szCs w:val="24"/>
        </w:rPr>
        <w:t xml:space="preserve">, </w:t>
      </w:r>
      <w:r w:rsidRPr="00171F8E">
        <w:rPr>
          <w:rFonts w:ascii="Calibri" w:hAnsi="Calibri" w:cs="Calibri"/>
          <w:i/>
          <w:iCs/>
          <w:noProof/>
          <w:szCs w:val="24"/>
        </w:rPr>
        <w:t>32</w:t>
      </w:r>
      <w:r w:rsidRPr="00171F8E">
        <w:rPr>
          <w:rFonts w:ascii="Calibri" w:hAnsi="Calibri" w:cs="Calibri"/>
          <w:noProof/>
          <w:szCs w:val="24"/>
        </w:rPr>
        <w:t>(6), 436–445. http://doi.org/10.1002/jat.1775</w:t>
      </w:r>
    </w:p>
    <w:p w14:paraId="24FDCCCE"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Prakash, A., Kalra, J. K., &amp; Kumar, A. (2015). Neuroprotective effect of N-acetyl cysteine against </w:t>
      </w:r>
      <w:r w:rsidRPr="00171F8E">
        <w:rPr>
          <w:rFonts w:ascii="Calibri" w:hAnsi="Calibri" w:cs="Calibri"/>
          <w:noProof/>
          <w:szCs w:val="24"/>
        </w:rPr>
        <w:lastRenderedPageBreak/>
        <w:t xml:space="preserve">streptozotocin-induced memory dysfunction and oxidative damage in rats. </w:t>
      </w:r>
      <w:r w:rsidRPr="00171F8E">
        <w:rPr>
          <w:rFonts w:ascii="Calibri" w:hAnsi="Calibri" w:cs="Calibri"/>
          <w:i/>
          <w:iCs/>
          <w:noProof/>
          <w:szCs w:val="24"/>
        </w:rPr>
        <w:t>Journal of Basic and Clinical Physiology and Pharmacology</w:t>
      </w:r>
      <w:r w:rsidRPr="00171F8E">
        <w:rPr>
          <w:rFonts w:ascii="Calibri" w:hAnsi="Calibri" w:cs="Calibri"/>
          <w:noProof/>
          <w:szCs w:val="24"/>
        </w:rPr>
        <w:t xml:space="preserve">, </w:t>
      </w:r>
      <w:r w:rsidRPr="00171F8E">
        <w:rPr>
          <w:rFonts w:ascii="Calibri" w:hAnsi="Calibri" w:cs="Calibri"/>
          <w:i/>
          <w:iCs/>
          <w:noProof/>
          <w:szCs w:val="24"/>
        </w:rPr>
        <w:t>26</w:t>
      </w:r>
      <w:r w:rsidRPr="00171F8E">
        <w:rPr>
          <w:rFonts w:ascii="Calibri" w:hAnsi="Calibri" w:cs="Calibri"/>
          <w:noProof/>
          <w:szCs w:val="24"/>
        </w:rPr>
        <w:t>(1), 13–23. http://doi.org/10.1515/jbcpp-2013-0150</w:t>
      </w:r>
    </w:p>
    <w:p w14:paraId="37A6C05F"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Price, J. L., McKeel, D. W., Buckles, V. D., Roe, C. M., Xiong, C., Grundman, M., … Morris, J. C. (2009). Neuropathology of nondemented aging: Presumptive evidence for preclinical Alzheimer disease. </w:t>
      </w:r>
      <w:r w:rsidRPr="00171F8E">
        <w:rPr>
          <w:rFonts w:ascii="Calibri" w:hAnsi="Calibri" w:cs="Calibri"/>
          <w:i/>
          <w:iCs/>
          <w:noProof/>
          <w:szCs w:val="24"/>
        </w:rPr>
        <w:t>Neurobiology of Aging</w:t>
      </w:r>
      <w:r w:rsidRPr="00171F8E">
        <w:rPr>
          <w:rFonts w:ascii="Calibri" w:hAnsi="Calibri" w:cs="Calibri"/>
          <w:noProof/>
          <w:szCs w:val="24"/>
        </w:rPr>
        <w:t xml:space="preserve">, </w:t>
      </w:r>
      <w:r w:rsidRPr="00171F8E">
        <w:rPr>
          <w:rFonts w:ascii="Calibri" w:hAnsi="Calibri" w:cs="Calibri"/>
          <w:i/>
          <w:iCs/>
          <w:noProof/>
          <w:szCs w:val="24"/>
        </w:rPr>
        <w:t>30</w:t>
      </w:r>
      <w:r w:rsidRPr="00171F8E">
        <w:rPr>
          <w:rFonts w:ascii="Calibri" w:hAnsi="Calibri" w:cs="Calibri"/>
          <w:noProof/>
          <w:szCs w:val="24"/>
        </w:rPr>
        <w:t>(7), 1026–1036. http://doi.org/10.1016/j.neurobiolaging.2009.04.002</w:t>
      </w:r>
    </w:p>
    <w:p w14:paraId="132EC592"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Prince, M., Comas-Herrera, A., Knapp, M., Guerchet, M., &amp; Karagiannidou, M. (2016). World Alzheimer Report 2016 Improving healthcare for people living with dementia. Coverage, Quality and costs now and in the future. </w:t>
      </w:r>
      <w:r w:rsidRPr="00171F8E">
        <w:rPr>
          <w:rFonts w:ascii="Calibri" w:hAnsi="Calibri" w:cs="Calibri"/>
          <w:i/>
          <w:iCs/>
          <w:noProof/>
          <w:szCs w:val="24"/>
        </w:rPr>
        <w:t>Alzheimer’s Disease International (ADI)</w:t>
      </w:r>
      <w:r w:rsidRPr="00171F8E">
        <w:rPr>
          <w:rFonts w:ascii="Calibri" w:hAnsi="Calibri" w:cs="Calibri"/>
          <w:noProof/>
          <w:szCs w:val="24"/>
        </w:rPr>
        <w:t>, 1–140.</w:t>
      </w:r>
    </w:p>
    <w:p w14:paraId="045E2957" w14:textId="6EDF9052"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Rüb, U., Del Tredici, K., Schultz, C., Thal, D. R., Braak, E., &amp; Braak, H. (2000). The evolution of Alzheimer’s disease-related cytoskeletal pathology in the human raphe nuclei. </w:t>
      </w:r>
      <w:r w:rsidRPr="00171F8E">
        <w:rPr>
          <w:rFonts w:ascii="Calibri" w:hAnsi="Calibri" w:cs="Calibri"/>
          <w:i/>
          <w:iCs/>
          <w:noProof/>
          <w:szCs w:val="24"/>
        </w:rPr>
        <w:t>Neuropathology and Applied Neurobiology</w:t>
      </w:r>
      <w:r w:rsidRPr="00171F8E">
        <w:rPr>
          <w:rFonts w:ascii="Calibri" w:hAnsi="Calibri" w:cs="Calibri"/>
          <w:noProof/>
          <w:szCs w:val="24"/>
        </w:rPr>
        <w:t xml:space="preserve">, </w:t>
      </w:r>
      <w:r w:rsidRPr="00171F8E">
        <w:rPr>
          <w:rFonts w:ascii="Calibri" w:hAnsi="Calibri" w:cs="Calibri"/>
          <w:i/>
          <w:iCs/>
          <w:noProof/>
          <w:szCs w:val="24"/>
        </w:rPr>
        <w:t>26</w:t>
      </w:r>
      <w:r w:rsidRPr="00171F8E">
        <w:rPr>
          <w:rFonts w:ascii="Calibri" w:hAnsi="Calibri" w:cs="Calibri"/>
          <w:noProof/>
          <w:szCs w:val="24"/>
        </w:rPr>
        <w:t xml:space="preserve">(6), 553–67. </w:t>
      </w:r>
    </w:p>
    <w:p w14:paraId="2B64A408"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Salkovic-Petrisic, M., Knezovic, A., Hoyer, S., &amp; Riederer, P. (2013). What have we learned from the streptozotocin-induced animal model of sporadic Alzheimer’s disease, about the therapeutic strategies in Alzheimer’s research. </w:t>
      </w:r>
      <w:r w:rsidRPr="00171F8E">
        <w:rPr>
          <w:rFonts w:ascii="Calibri" w:hAnsi="Calibri" w:cs="Calibri"/>
          <w:i/>
          <w:iCs/>
          <w:noProof/>
          <w:szCs w:val="24"/>
        </w:rPr>
        <w:t>Journal of Neural Transmission (Vienna, Austria : 1996)</w:t>
      </w:r>
      <w:r w:rsidRPr="00171F8E">
        <w:rPr>
          <w:rFonts w:ascii="Calibri" w:hAnsi="Calibri" w:cs="Calibri"/>
          <w:noProof/>
          <w:szCs w:val="24"/>
        </w:rPr>
        <w:t xml:space="preserve">, </w:t>
      </w:r>
      <w:r w:rsidRPr="00171F8E">
        <w:rPr>
          <w:rFonts w:ascii="Calibri" w:hAnsi="Calibri" w:cs="Calibri"/>
          <w:i/>
          <w:iCs/>
          <w:noProof/>
          <w:szCs w:val="24"/>
        </w:rPr>
        <w:t>120</w:t>
      </w:r>
      <w:r w:rsidRPr="00171F8E">
        <w:rPr>
          <w:rFonts w:ascii="Calibri" w:hAnsi="Calibri" w:cs="Calibri"/>
          <w:noProof/>
          <w:szCs w:val="24"/>
        </w:rPr>
        <w:t>(1), 233–52. http://doi.org/10.1007/s00702-012-0877-9</w:t>
      </w:r>
    </w:p>
    <w:p w14:paraId="4EF58DF0"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Salkovic-Petrisic, M., Osmanovic-Barilar, J., Knezovic, A., Hoyer, S., Mosetter, K., &amp; Reutter, W. (2014). Long-term oral galactose treatment prevents cognitive deficits in male Wistar rats treated intracerebroventricularly with streptozotocin. </w:t>
      </w:r>
      <w:r w:rsidRPr="00171F8E">
        <w:rPr>
          <w:rFonts w:ascii="Calibri" w:hAnsi="Calibri" w:cs="Calibri"/>
          <w:i/>
          <w:iCs/>
          <w:noProof/>
          <w:szCs w:val="24"/>
        </w:rPr>
        <w:t>Neuropharmacology</w:t>
      </w:r>
      <w:r w:rsidRPr="00171F8E">
        <w:rPr>
          <w:rFonts w:ascii="Calibri" w:hAnsi="Calibri" w:cs="Calibri"/>
          <w:noProof/>
          <w:szCs w:val="24"/>
        </w:rPr>
        <w:t xml:space="preserve">, </w:t>
      </w:r>
      <w:r w:rsidRPr="00171F8E">
        <w:rPr>
          <w:rFonts w:ascii="Calibri" w:hAnsi="Calibri" w:cs="Calibri"/>
          <w:i/>
          <w:iCs/>
          <w:noProof/>
          <w:szCs w:val="24"/>
        </w:rPr>
        <w:t>77</w:t>
      </w:r>
      <w:r w:rsidRPr="00171F8E">
        <w:rPr>
          <w:rFonts w:ascii="Calibri" w:hAnsi="Calibri" w:cs="Calibri"/>
          <w:noProof/>
          <w:szCs w:val="24"/>
        </w:rPr>
        <w:t>, 68–80. http://doi.org/10.1016/j.neuropharm.2013.09.002</w:t>
      </w:r>
    </w:p>
    <w:p w14:paraId="3D531185"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Salkovic-Petrisic, M., Tribl, F., Schmidt, M., Hoyer, S., &amp; Riederer, P. (2006). Alzheimer-like changes in protein kinase B and glycogen synthase kinase-3 in rat frontal cortex and hippocampus after damage to the insulin signalling pathway. </w:t>
      </w:r>
      <w:r w:rsidRPr="00171F8E">
        <w:rPr>
          <w:rFonts w:ascii="Calibri" w:hAnsi="Calibri" w:cs="Calibri"/>
          <w:i/>
          <w:iCs/>
          <w:noProof/>
          <w:szCs w:val="24"/>
        </w:rPr>
        <w:t>Journal of Neurochemistry</w:t>
      </w:r>
      <w:r w:rsidRPr="00171F8E">
        <w:rPr>
          <w:rFonts w:ascii="Calibri" w:hAnsi="Calibri" w:cs="Calibri"/>
          <w:noProof/>
          <w:szCs w:val="24"/>
        </w:rPr>
        <w:t xml:space="preserve">, </w:t>
      </w:r>
      <w:r w:rsidRPr="00171F8E">
        <w:rPr>
          <w:rFonts w:ascii="Calibri" w:hAnsi="Calibri" w:cs="Calibri"/>
          <w:i/>
          <w:iCs/>
          <w:noProof/>
          <w:szCs w:val="24"/>
        </w:rPr>
        <w:t>96</w:t>
      </w:r>
      <w:r w:rsidRPr="00171F8E">
        <w:rPr>
          <w:rFonts w:ascii="Calibri" w:hAnsi="Calibri" w:cs="Calibri"/>
          <w:noProof/>
          <w:szCs w:val="24"/>
        </w:rPr>
        <w:t>(4), 1005–15. http://doi.org/10.1111/j.1471-4159.2005.03637.x</w:t>
      </w:r>
    </w:p>
    <w:p w14:paraId="36D3F348" w14:textId="77777777" w:rsidR="00171F8E" w:rsidRPr="00171F8E" w:rsidRDefault="00171F8E" w:rsidP="00171F8E">
      <w:pPr>
        <w:widowControl w:val="0"/>
        <w:autoSpaceDE w:val="0"/>
        <w:autoSpaceDN w:val="0"/>
        <w:adjustRightInd w:val="0"/>
        <w:spacing w:line="360" w:lineRule="auto"/>
        <w:ind w:left="480" w:hanging="480"/>
        <w:rPr>
          <w:rFonts w:ascii="Calibri" w:hAnsi="Calibri" w:cs="Calibri"/>
          <w:noProof/>
          <w:szCs w:val="24"/>
        </w:rPr>
      </w:pPr>
      <w:r w:rsidRPr="00171F8E">
        <w:rPr>
          <w:rFonts w:ascii="Calibri" w:hAnsi="Calibri" w:cs="Calibri"/>
          <w:noProof/>
          <w:szCs w:val="24"/>
        </w:rPr>
        <w:t xml:space="preserve">Szablewski, L. (2016). Glucose Transporters in Brain: In Health and in Alzheimer’s Disease. </w:t>
      </w:r>
      <w:r w:rsidRPr="00171F8E">
        <w:rPr>
          <w:rFonts w:ascii="Calibri" w:hAnsi="Calibri" w:cs="Calibri"/>
          <w:i/>
          <w:iCs/>
          <w:noProof/>
          <w:szCs w:val="24"/>
        </w:rPr>
        <w:t>Journal of Alzheimer’s Disease</w:t>
      </w:r>
      <w:r w:rsidRPr="00171F8E">
        <w:rPr>
          <w:rFonts w:ascii="Calibri" w:hAnsi="Calibri" w:cs="Calibri"/>
          <w:noProof/>
          <w:szCs w:val="24"/>
        </w:rPr>
        <w:t xml:space="preserve">, </w:t>
      </w:r>
      <w:r w:rsidRPr="00171F8E">
        <w:rPr>
          <w:rFonts w:ascii="Calibri" w:hAnsi="Calibri" w:cs="Calibri"/>
          <w:i/>
          <w:iCs/>
          <w:noProof/>
          <w:szCs w:val="24"/>
        </w:rPr>
        <w:t>55</w:t>
      </w:r>
      <w:r w:rsidRPr="00171F8E">
        <w:rPr>
          <w:rFonts w:ascii="Calibri" w:hAnsi="Calibri" w:cs="Calibri"/>
          <w:noProof/>
          <w:szCs w:val="24"/>
        </w:rPr>
        <w:t>(4), 1307–1320. http://doi.org/10.3233/JAD-160841</w:t>
      </w:r>
    </w:p>
    <w:p w14:paraId="68FCCEEA" w14:textId="3272775A" w:rsidR="005C0C16" w:rsidRDefault="00171F8E" w:rsidP="00C151D4">
      <w:pPr>
        <w:widowControl w:val="0"/>
        <w:autoSpaceDE w:val="0"/>
        <w:autoSpaceDN w:val="0"/>
        <w:adjustRightInd w:val="0"/>
        <w:spacing w:line="360" w:lineRule="auto"/>
        <w:ind w:left="480" w:hanging="480"/>
      </w:pPr>
      <w:r w:rsidRPr="00171F8E">
        <w:rPr>
          <w:rFonts w:ascii="Calibri" w:hAnsi="Calibri" w:cs="Calibri"/>
          <w:noProof/>
          <w:szCs w:val="24"/>
        </w:rPr>
        <w:t xml:space="preserve">Szkudelski, T. (2001). The mechanism of alloxan and streptozotocin action in B cells of the rat pancreas. </w:t>
      </w:r>
      <w:r w:rsidRPr="00171F8E">
        <w:rPr>
          <w:rFonts w:ascii="Calibri" w:hAnsi="Calibri" w:cs="Calibri"/>
          <w:i/>
          <w:iCs/>
          <w:noProof/>
          <w:szCs w:val="24"/>
        </w:rPr>
        <w:t>Physiological Research</w:t>
      </w:r>
      <w:r w:rsidRPr="00171F8E">
        <w:rPr>
          <w:rFonts w:ascii="Calibri" w:hAnsi="Calibri" w:cs="Calibri"/>
          <w:noProof/>
          <w:szCs w:val="24"/>
        </w:rPr>
        <w:t xml:space="preserve">, </w:t>
      </w:r>
      <w:r w:rsidRPr="00171F8E">
        <w:rPr>
          <w:rFonts w:ascii="Calibri" w:hAnsi="Calibri" w:cs="Calibri"/>
          <w:i/>
          <w:iCs/>
          <w:noProof/>
          <w:szCs w:val="24"/>
        </w:rPr>
        <w:t>50</w:t>
      </w:r>
      <w:r w:rsidRPr="00171F8E">
        <w:rPr>
          <w:rFonts w:ascii="Calibri" w:hAnsi="Calibri" w:cs="Calibri"/>
          <w:noProof/>
          <w:szCs w:val="24"/>
        </w:rPr>
        <w:t xml:space="preserve">(6), 537–46. </w:t>
      </w:r>
      <w:r w:rsidR="008C3B25">
        <w:fldChar w:fldCharType="end"/>
      </w:r>
    </w:p>
    <w:p w14:paraId="712875F9" w14:textId="235333AF" w:rsidR="004E4AD8" w:rsidRDefault="004E4AD8" w:rsidP="00782477">
      <w:pPr>
        <w:pStyle w:val="Heading1"/>
        <w:rPr>
          <w:rFonts w:ascii="Times New Roman" w:hAnsi="Times New Roman" w:cs="Times New Roman"/>
          <w:color w:val="auto"/>
        </w:rPr>
      </w:pPr>
      <w:bookmarkStart w:id="13" w:name="_Toc386475800"/>
    </w:p>
    <w:p w14:paraId="49F27673" w14:textId="77777777" w:rsidR="001A597C" w:rsidRPr="001A597C" w:rsidRDefault="001A597C" w:rsidP="001A597C"/>
    <w:p w14:paraId="6F042B8B" w14:textId="77777777" w:rsidR="00782477" w:rsidRPr="00D87EDE" w:rsidRDefault="00782477" w:rsidP="00782477">
      <w:pPr>
        <w:pStyle w:val="Heading1"/>
        <w:rPr>
          <w:rFonts w:ascii="Arial" w:hAnsi="Arial" w:cs="Arial"/>
          <w:b/>
          <w:color w:val="auto"/>
          <w:sz w:val="24"/>
          <w:szCs w:val="24"/>
        </w:rPr>
      </w:pPr>
      <w:r w:rsidRPr="00D87EDE">
        <w:rPr>
          <w:rFonts w:ascii="Arial" w:hAnsi="Arial" w:cs="Arial"/>
          <w:b/>
          <w:color w:val="auto"/>
          <w:sz w:val="24"/>
          <w:szCs w:val="24"/>
        </w:rPr>
        <w:lastRenderedPageBreak/>
        <w:t>10.</w:t>
      </w:r>
      <w:r w:rsidRPr="00D87EDE">
        <w:rPr>
          <w:rFonts w:ascii="Arial" w:hAnsi="Arial" w:cs="Arial"/>
          <w:b/>
          <w:color w:val="auto"/>
          <w:sz w:val="24"/>
          <w:szCs w:val="24"/>
        </w:rPr>
        <w:tab/>
        <w:t>SAŽETAK</w:t>
      </w:r>
      <w:bookmarkEnd w:id="13"/>
    </w:p>
    <w:p w14:paraId="2B3009E0" w14:textId="77777777" w:rsidR="001A597C" w:rsidRPr="00C62D59" w:rsidRDefault="001A597C" w:rsidP="001A597C">
      <w:pPr>
        <w:jc w:val="center"/>
        <w:rPr>
          <w:rFonts w:ascii="Arial" w:hAnsi="Arial" w:cs="Arial"/>
          <w:b/>
        </w:rPr>
      </w:pPr>
      <w:r>
        <w:rPr>
          <w:color w:val="000000" w:themeColor="text1"/>
        </w:rPr>
        <w:br/>
      </w:r>
      <w:r w:rsidRPr="00C62D59">
        <w:rPr>
          <w:rFonts w:ascii="Arial" w:hAnsi="Arial" w:cs="Arial"/>
          <w:b/>
        </w:rPr>
        <w:t>BIOKEMIJSKE PROMJENE DORZALNE MOTORNE JEZGRE VAGUSA U ŠTAKORSKOM MODELU SPORADIČNE ALZHEIMEROVE BOLESTI</w:t>
      </w:r>
    </w:p>
    <w:p w14:paraId="0E077174" w14:textId="5E304732" w:rsidR="00782477" w:rsidRPr="00DA4D90" w:rsidRDefault="001A597C" w:rsidP="00782477">
      <w:pPr>
        <w:spacing w:line="360" w:lineRule="auto"/>
        <w:rPr>
          <w:color w:val="000000" w:themeColor="text1"/>
        </w:rPr>
      </w:pPr>
      <w:r>
        <w:rPr>
          <w:color w:val="000000" w:themeColor="text1"/>
        </w:rPr>
        <w:t>Jan Homolak</w:t>
      </w:r>
    </w:p>
    <w:p w14:paraId="6849DBF7" w14:textId="6837D5B5" w:rsidR="00782477" w:rsidRPr="004E4AD8" w:rsidRDefault="004E4AD8" w:rsidP="00782477">
      <w:pPr>
        <w:spacing w:line="360" w:lineRule="auto"/>
        <w:jc w:val="both"/>
        <w:rPr>
          <w:rFonts w:ascii="Arial" w:hAnsi="Arial" w:cs="Arial"/>
          <w:color w:val="000000" w:themeColor="text1"/>
          <w:sz w:val="20"/>
          <w:szCs w:val="20"/>
        </w:rPr>
      </w:pPr>
      <w:r w:rsidRPr="004E4AD8">
        <w:rPr>
          <w:rFonts w:ascii="Arial" w:hAnsi="Arial" w:cs="Arial"/>
          <w:sz w:val="20"/>
          <w:szCs w:val="20"/>
        </w:rPr>
        <w:t>Neuropatološke promjene moždanog debla u sporadičnoj Alzheimerovoj bolesti (sAD) pojavljuju se prije nego u supratentorijalnim regijama mozga. U kontekstu novih dokaza koji povezuju sAD s upalom i inzulinskom rezistencijom u mozgu, dorzalna motorna jezgra vagusa (DMNX)</w:t>
      </w:r>
      <w:r w:rsidR="001A597C">
        <w:rPr>
          <w:rFonts w:ascii="Arial" w:hAnsi="Arial" w:cs="Arial"/>
          <w:sz w:val="20"/>
          <w:szCs w:val="20"/>
        </w:rPr>
        <w:t>,</w:t>
      </w:r>
      <w:r w:rsidRPr="004E4AD8">
        <w:rPr>
          <w:rFonts w:ascii="Arial" w:hAnsi="Arial" w:cs="Arial"/>
          <w:sz w:val="20"/>
          <w:szCs w:val="20"/>
        </w:rPr>
        <w:t xml:space="preserve">  koja u sklopu dorzalnog vagalnog kompleksa djeluje kao integrativno središte metaboličke i imunološke homeostaze</w:t>
      </w:r>
      <w:r w:rsidR="001A597C">
        <w:rPr>
          <w:rFonts w:ascii="Arial" w:hAnsi="Arial" w:cs="Arial"/>
          <w:sz w:val="20"/>
          <w:szCs w:val="20"/>
        </w:rPr>
        <w:t>,</w:t>
      </w:r>
      <w:r w:rsidRPr="004E4AD8">
        <w:rPr>
          <w:rFonts w:ascii="Arial" w:hAnsi="Arial" w:cs="Arial"/>
          <w:sz w:val="20"/>
          <w:szCs w:val="20"/>
        </w:rPr>
        <w:t xml:space="preserve"> </w:t>
      </w:r>
      <w:r w:rsidR="001A597C">
        <w:rPr>
          <w:rFonts w:ascii="Arial" w:hAnsi="Arial" w:cs="Arial"/>
          <w:sz w:val="20"/>
          <w:szCs w:val="20"/>
        </w:rPr>
        <w:t>postaje zanimljiva kao mogući</w:t>
      </w:r>
      <w:r w:rsidRPr="004E4AD8">
        <w:rPr>
          <w:rFonts w:ascii="Arial" w:hAnsi="Arial" w:cs="Arial"/>
          <w:sz w:val="20"/>
          <w:szCs w:val="20"/>
        </w:rPr>
        <w:t xml:space="preserve"> posrednik patofizioloških promjena. Imunofluorescentna analiza aktivnosti stanica, inzulinske signalizacije, autofagije i upale u DMNX istražena je u modelu sAD nakon akutne intracerebroventrikularne primjene STZ (STZ-icv). Kronične promjene DMNX istražene su imunofluorescentnom i western blot analizom proteina inzulinske signalizacije, mTOR puta te transportera za glukozu. Oksidativni stres istražen je mjerenjem aktivnosti katalaze, reduciranog glutationa i lipidne peroksidacije. Značaj metaboličkih i oksidativnih promjena istražen je u modelu akutne primjene perororalne D-galaktoze koji se istražuje kao moguća terapija sAD i intraperitonealne primjene D-galaktoze koji se koristi kao životinjski model ubrzanog starenja.</w:t>
      </w:r>
      <w:r w:rsidRPr="004E4AD8">
        <w:rPr>
          <w:rFonts w:ascii="Arial" w:hAnsi="Arial" w:cs="Arial"/>
          <w:sz w:val="20"/>
          <w:szCs w:val="20"/>
        </w:rPr>
        <w:br/>
      </w:r>
      <w:r w:rsidRPr="004E4AD8">
        <w:rPr>
          <w:rFonts w:ascii="Arial" w:hAnsi="Arial" w:cs="Arial"/>
          <w:sz w:val="20"/>
          <w:szCs w:val="20"/>
        </w:rPr>
        <w:br/>
        <w:t>Ključne riječi: moždano deblo, Alzheimerova bolest, vagus, metabolizam, oksidativni stres</w:t>
      </w:r>
      <w:r w:rsidR="00782477" w:rsidRPr="004E4AD8">
        <w:rPr>
          <w:rFonts w:ascii="Arial" w:hAnsi="Arial" w:cs="Arial"/>
          <w:color w:val="000000" w:themeColor="text1"/>
          <w:sz w:val="20"/>
          <w:szCs w:val="20"/>
        </w:rPr>
        <w:tab/>
      </w:r>
    </w:p>
    <w:p w14:paraId="748885E4" w14:textId="77777777" w:rsidR="00782477" w:rsidRDefault="00782477" w:rsidP="00782477"/>
    <w:p w14:paraId="34858300" w14:textId="77777777" w:rsidR="00782477" w:rsidRDefault="00782477" w:rsidP="00782477"/>
    <w:p w14:paraId="00FF648E" w14:textId="77777777" w:rsidR="00782477" w:rsidRDefault="00782477" w:rsidP="00782477"/>
    <w:p w14:paraId="60C14EFC" w14:textId="77777777" w:rsidR="00782477" w:rsidRDefault="00782477" w:rsidP="00782477"/>
    <w:p w14:paraId="73000A9D" w14:textId="77777777" w:rsidR="00782477" w:rsidRDefault="00782477" w:rsidP="00782477"/>
    <w:p w14:paraId="63A41202" w14:textId="77777777" w:rsidR="00782477" w:rsidRDefault="00782477" w:rsidP="00782477"/>
    <w:p w14:paraId="459AE018" w14:textId="77777777" w:rsidR="005C0C16" w:rsidRDefault="005C0C16" w:rsidP="00782477"/>
    <w:p w14:paraId="17062C65" w14:textId="77777777" w:rsidR="005C0C16" w:rsidRDefault="005C0C16" w:rsidP="00782477"/>
    <w:p w14:paraId="797103EC" w14:textId="1A6FB890" w:rsidR="00782477" w:rsidRPr="008470E3" w:rsidRDefault="00782477" w:rsidP="00782477"/>
    <w:p w14:paraId="66F75F5E" w14:textId="77777777" w:rsidR="00782477" w:rsidRDefault="00782477" w:rsidP="00782477"/>
    <w:p w14:paraId="3B128EC9" w14:textId="0848CACE" w:rsidR="00782477" w:rsidRPr="004E1AEC" w:rsidRDefault="00782477" w:rsidP="00782477">
      <w:pPr>
        <w:spacing w:line="360" w:lineRule="auto"/>
        <w:jc w:val="both"/>
        <w:outlineLvl w:val="0"/>
        <w:rPr>
          <w:rFonts w:ascii="Arial" w:hAnsi="Arial" w:cs="Arial"/>
          <w:b/>
          <w:color w:val="C00000"/>
          <w:sz w:val="24"/>
          <w:szCs w:val="24"/>
        </w:rPr>
      </w:pPr>
      <w:bookmarkStart w:id="14" w:name="_Toc386475801"/>
      <w:r w:rsidRPr="004E1AEC">
        <w:rPr>
          <w:rFonts w:ascii="Arial" w:hAnsi="Arial" w:cs="Arial"/>
          <w:b/>
          <w:sz w:val="24"/>
          <w:szCs w:val="24"/>
        </w:rPr>
        <w:t>11.</w:t>
      </w:r>
      <w:r w:rsidRPr="004E1AEC">
        <w:rPr>
          <w:rFonts w:ascii="Arial" w:hAnsi="Arial" w:cs="Arial"/>
          <w:b/>
          <w:sz w:val="24"/>
          <w:szCs w:val="24"/>
        </w:rPr>
        <w:tab/>
        <w:t>SUMMARY</w:t>
      </w:r>
      <w:bookmarkEnd w:id="14"/>
      <w:r w:rsidRPr="004E1AEC">
        <w:rPr>
          <w:rFonts w:ascii="Arial" w:hAnsi="Arial" w:cs="Arial"/>
          <w:b/>
          <w:sz w:val="24"/>
          <w:szCs w:val="24"/>
        </w:rPr>
        <w:t xml:space="preserve"> </w:t>
      </w:r>
      <w:r w:rsidRPr="004E1AEC">
        <w:rPr>
          <w:rFonts w:ascii="Arial" w:hAnsi="Arial" w:cs="Arial"/>
          <w:b/>
          <w:color w:val="C00000"/>
          <w:sz w:val="24"/>
          <w:szCs w:val="24"/>
        </w:rPr>
        <w:t xml:space="preserve"> </w:t>
      </w:r>
      <w:r w:rsidR="004E1AEC">
        <w:rPr>
          <w:rFonts w:ascii="Arial" w:hAnsi="Arial" w:cs="Arial"/>
          <w:b/>
          <w:color w:val="C00000"/>
          <w:sz w:val="24"/>
          <w:szCs w:val="24"/>
        </w:rPr>
        <w:br/>
      </w:r>
    </w:p>
    <w:p w14:paraId="41F3E8FC" w14:textId="703B4223" w:rsidR="001A597C" w:rsidRPr="00C62D59" w:rsidRDefault="001A597C" w:rsidP="001A597C">
      <w:pPr>
        <w:jc w:val="center"/>
        <w:rPr>
          <w:rFonts w:ascii="Arial" w:hAnsi="Arial" w:cs="Arial"/>
          <w:b/>
        </w:rPr>
      </w:pPr>
      <w:r w:rsidRPr="00C62D59">
        <w:rPr>
          <w:rFonts w:ascii="Arial" w:hAnsi="Arial" w:cs="Arial"/>
          <w:b/>
        </w:rPr>
        <w:t>B</w:t>
      </w:r>
      <w:r>
        <w:rPr>
          <w:rFonts w:ascii="Arial" w:hAnsi="Arial" w:cs="Arial"/>
          <w:b/>
        </w:rPr>
        <w:t xml:space="preserve">IOCHEMICAL CHANGES IN DORSAL MOTOR NUCLEUS OF VAGUS IN RAT MODEL OF SPORADIC ALZHEIMER'S </w:t>
      </w:r>
      <w:r w:rsidR="00D87EDE">
        <w:rPr>
          <w:rFonts w:ascii="Arial" w:hAnsi="Arial" w:cs="Arial"/>
          <w:b/>
        </w:rPr>
        <w:t>DISEASE</w:t>
      </w:r>
    </w:p>
    <w:p w14:paraId="51FC959A" w14:textId="254616E1" w:rsidR="00782477" w:rsidRPr="000C55F4" w:rsidRDefault="00D87EDE" w:rsidP="00782477">
      <w:pPr>
        <w:spacing w:line="360" w:lineRule="auto"/>
        <w:jc w:val="both"/>
      </w:pPr>
      <w:r>
        <w:t xml:space="preserve">Jan Homolak </w:t>
      </w:r>
    </w:p>
    <w:p w14:paraId="6B0B2B84" w14:textId="6C0C34C3" w:rsidR="00782477" w:rsidRPr="004E4AD8" w:rsidRDefault="004E4AD8" w:rsidP="004E4AD8">
      <w:pPr>
        <w:spacing w:line="360" w:lineRule="auto"/>
        <w:jc w:val="both"/>
        <w:rPr>
          <w:rFonts w:ascii="Arial" w:hAnsi="Arial" w:cs="Arial"/>
          <w:sz w:val="20"/>
          <w:szCs w:val="20"/>
        </w:rPr>
      </w:pPr>
      <w:r w:rsidRPr="004E4AD8">
        <w:rPr>
          <w:rFonts w:ascii="Arial" w:hAnsi="Arial" w:cs="Arial"/>
          <w:sz w:val="20"/>
          <w:szCs w:val="20"/>
        </w:rPr>
        <w:t xml:space="preserve">Neuropathological changes in sporadic Alzheimer's disease (sAD) emerge in brain stem sooner than in supratentorial brain regions. In context of new evidence </w:t>
      </w:r>
      <w:r w:rsidR="00D87EDE">
        <w:rPr>
          <w:rFonts w:ascii="Arial" w:hAnsi="Arial" w:cs="Arial"/>
          <w:sz w:val="20"/>
          <w:szCs w:val="20"/>
        </w:rPr>
        <w:t>suggestive of relationship between</w:t>
      </w:r>
      <w:r w:rsidRPr="004E4AD8">
        <w:rPr>
          <w:rFonts w:ascii="Arial" w:hAnsi="Arial" w:cs="Arial"/>
          <w:sz w:val="20"/>
          <w:szCs w:val="20"/>
        </w:rPr>
        <w:t xml:space="preserve"> sAD,  insulin resistant brain state and neuroinflammation, dorsa</w:t>
      </w:r>
      <w:r w:rsidR="00D87EDE">
        <w:rPr>
          <w:rFonts w:ascii="Arial" w:hAnsi="Arial" w:cs="Arial"/>
          <w:sz w:val="20"/>
          <w:szCs w:val="20"/>
        </w:rPr>
        <w:t>l motor nucleus of vagus (DMNX) -</w:t>
      </w:r>
      <w:r w:rsidRPr="004E4AD8">
        <w:rPr>
          <w:rFonts w:ascii="Arial" w:hAnsi="Arial" w:cs="Arial"/>
          <w:sz w:val="20"/>
          <w:szCs w:val="20"/>
        </w:rPr>
        <w:t xml:space="preserve"> important part of the dorsal vagal complex, an integrative center of metabolic and immune homeostasis, emerges as interesting potential pathophysiological factor in development of sAD. Immunofluorescent analysis of cellular activity, insulin signaling, autophagy and inflammation was analyzed in</w:t>
      </w:r>
      <w:r w:rsidR="00D87EDE">
        <w:rPr>
          <w:rFonts w:ascii="Arial" w:hAnsi="Arial" w:cs="Arial"/>
          <w:sz w:val="20"/>
          <w:szCs w:val="20"/>
        </w:rPr>
        <w:t xml:space="preserve"> </w:t>
      </w:r>
      <w:r w:rsidRPr="004E4AD8">
        <w:rPr>
          <w:rFonts w:ascii="Arial" w:hAnsi="Arial" w:cs="Arial"/>
          <w:sz w:val="20"/>
          <w:szCs w:val="20"/>
        </w:rPr>
        <w:t>DMNX of sAD model after acute intracerebroventricular STZ injecti</w:t>
      </w:r>
      <w:r w:rsidR="00D87EDE">
        <w:rPr>
          <w:rFonts w:ascii="Arial" w:hAnsi="Arial" w:cs="Arial"/>
          <w:sz w:val="20"/>
          <w:szCs w:val="20"/>
        </w:rPr>
        <w:t>on (STZ-icv). Chronic changes in</w:t>
      </w:r>
      <w:r w:rsidRPr="004E4AD8">
        <w:rPr>
          <w:rFonts w:ascii="Arial" w:hAnsi="Arial" w:cs="Arial"/>
          <w:sz w:val="20"/>
          <w:szCs w:val="20"/>
        </w:rPr>
        <w:t xml:space="preserve"> DMNX insulin signaling, mTOR pathway and glucose transporters were evaluated by immunofluorescence and western blot. Oxidative stress in whole brain stem lyzate was evaluated by measurement of catalase activity, reduced glutathion and lipid peroxidation. Relevance of observed metabolic and oxidative changes was examined in model of acute peroral D-galactose treatment currently investigated as a potential therapy </w:t>
      </w:r>
      <w:r w:rsidR="00D87EDE">
        <w:rPr>
          <w:rFonts w:ascii="Arial" w:hAnsi="Arial" w:cs="Arial"/>
          <w:sz w:val="20"/>
          <w:szCs w:val="20"/>
        </w:rPr>
        <w:t xml:space="preserve">for sAD, </w:t>
      </w:r>
      <w:r w:rsidRPr="004E4AD8">
        <w:rPr>
          <w:rFonts w:ascii="Arial" w:hAnsi="Arial" w:cs="Arial"/>
          <w:sz w:val="20"/>
          <w:szCs w:val="20"/>
        </w:rPr>
        <w:t>and inraperitoneal D-galactose administra</w:t>
      </w:r>
      <w:r w:rsidR="00D87EDE">
        <w:rPr>
          <w:rFonts w:ascii="Arial" w:hAnsi="Arial" w:cs="Arial"/>
          <w:sz w:val="20"/>
          <w:szCs w:val="20"/>
        </w:rPr>
        <w:t>tion used as an animal model of</w:t>
      </w:r>
      <w:r w:rsidRPr="004E4AD8">
        <w:rPr>
          <w:rFonts w:ascii="Arial" w:hAnsi="Arial" w:cs="Arial"/>
          <w:sz w:val="20"/>
          <w:szCs w:val="20"/>
        </w:rPr>
        <w:t xml:space="preserve"> accelerated aging. </w:t>
      </w:r>
      <w:r w:rsidRPr="004E4AD8">
        <w:rPr>
          <w:rFonts w:ascii="Arial" w:hAnsi="Arial" w:cs="Arial"/>
          <w:sz w:val="20"/>
          <w:szCs w:val="20"/>
        </w:rPr>
        <w:br/>
      </w:r>
      <w:r w:rsidRPr="004E4AD8">
        <w:rPr>
          <w:rFonts w:ascii="Arial" w:hAnsi="Arial" w:cs="Arial"/>
          <w:sz w:val="20"/>
          <w:szCs w:val="20"/>
        </w:rPr>
        <w:br/>
        <w:t>key words: Brain stem, Alzheimer's disease, vagus, metabolism, oxidative stress</w:t>
      </w:r>
    </w:p>
    <w:p w14:paraId="5813A6AC" w14:textId="7B9408AA" w:rsidR="00782477" w:rsidRDefault="00782477" w:rsidP="00782477">
      <w:pPr>
        <w:rPr>
          <w:b/>
          <w:sz w:val="32"/>
        </w:rPr>
      </w:pPr>
    </w:p>
    <w:p w14:paraId="791D5DE9" w14:textId="4F55C243" w:rsidR="00337D38" w:rsidRDefault="00337D38" w:rsidP="00782477">
      <w:pPr>
        <w:rPr>
          <w:b/>
          <w:sz w:val="32"/>
        </w:rPr>
      </w:pPr>
    </w:p>
    <w:p w14:paraId="280A5B69" w14:textId="469B420D" w:rsidR="00337D38" w:rsidRDefault="00337D38" w:rsidP="00782477">
      <w:pPr>
        <w:rPr>
          <w:b/>
          <w:sz w:val="32"/>
        </w:rPr>
      </w:pPr>
    </w:p>
    <w:p w14:paraId="4D41D506" w14:textId="2897CD0B" w:rsidR="00337D38" w:rsidRDefault="00337D38" w:rsidP="00782477">
      <w:pPr>
        <w:rPr>
          <w:b/>
          <w:sz w:val="32"/>
        </w:rPr>
      </w:pPr>
    </w:p>
    <w:p w14:paraId="62A1EA86" w14:textId="6FC443B7" w:rsidR="00337D38" w:rsidRDefault="00337D38" w:rsidP="00782477">
      <w:pPr>
        <w:rPr>
          <w:b/>
          <w:sz w:val="32"/>
        </w:rPr>
      </w:pPr>
    </w:p>
    <w:p w14:paraId="5766C1E2" w14:textId="32EA3FC3" w:rsidR="00337D38" w:rsidRDefault="00337D38" w:rsidP="00782477">
      <w:pPr>
        <w:rPr>
          <w:b/>
          <w:sz w:val="32"/>
        </w:rPr>
      </w:pPr>
    </w:p>
    <w:p w14:paraId="5F9CE8A4" w14:textId="668DF3C6" w:rsidR="00337D38" w:rsidRPr="00336F88" w:rsidRDefault="00337D38" w:rsidP="00912363">
      <w:pPr>
        <w:spacing w:line="360" w:lineRule="auto"/>
        <w:rPr>
          <w:rFonts w:ascii="Arial" w:hAnsi="Arial" w:cs="Arial"/>
          <w:b/>
          <w:sz w:val="20"/>
          <w:szCs w:val="20"/>
        </w:rPr>
      </w:pPr>
      <w:r>
        <w:rPr>
          <w:rFonts w:ascii="Arial" w:hAnsi="Arial" w:cs="Arial"/>
          <w:b/>
          <w:sz w:val="24"/>
          <w:szCs w:val="24"/>
        </w:rPr>
        <w:lastRenderedPageBreak/>
        <w:t>12. ŽIVOTOPIS</w:t>
      </w:r>
      <w:r>
        <w:rPr>
          <w:rFonts w:ascii="Arial" w:hAnsi="Arial" w:cs="Arial"/>
          <w:b/>
          <w:sz w:val="24"/>
          <w:szCs w:val="24"/>
        </w:rPr>
        <w:br/>
      </w:r>
      <w:r w:rsidRPr="00912363">
        <w:rPr>
          <w:rFonts w:ascii="Arial" w:hAnsi="Arial" w:cs="Arial"/>
          <w:sz w:val="20"/>
          <w:szCs w:val="20"/>
        </w:rPr>
        <w:t>Rođen sam 11.4.1993. u Zagrebu gdje sam završio I. gimnaziju i iste godine upisao Medicinski fakultet. Trenutno sam student 6. godine s prosjekom ocjena 4.600. Dobitnik sam Stipendije Grada Zagreba za izvrsnost i Posebne Rektorove nagrade, te brojnih nagrada za najbolja studentska</w:t>
      </w:r>
      <w:r w:rsidR="00336F88" w:rsidRPr="00912363">
        <w:rPr>
          <w:rFonts w:ascii="Arial" w:hAnsi="Arial" w:cs="Arial"/>
          <w:sz w:val="20"/>
          <w:szCs w:val="20"/>
        </w:rPr>
        <w:t xml:space="preserve"> izlaganja i znanstvene radove. Jedan sam od voditelja Studentske Sekcije za Neuroznanost i Studentske Sekcije za Fiziologiju Sporta</w:t>
      </w:r>
      <w:r w:rsidR="00A70236" w:rsidRPr="00912363">
        <w:rPr>
          <w:rFonts w:ascii="Arial" w:hAnsi="Arial" w:cs="Arial"/>
          <w:sz w:val="20"/>
          <w:szCs w:val="20"/>
        </w:rPr>
        <w:t xml:space="preserve"> te organizator brojnih studentskih kongresa i događanja</w:t>
      </w:r>
      <w:r w:rsidR="00336F88" w:rsidRPr="00912363">
        <w:rPr>
          <w:rFonts w:ascii="Arial" w:hAnsi="Arial" w:cs="Arial"/>
          <w:sz w:val="20"/>
          <w:szCs w:val="20"/>
        </w:rPr>
        <w:t xml:space="preserve">. Tijekom studija bio sam demonstrator na kolegijima Patofiziologija i Temelji neuroznanosti te pridruženi urednik časopisa </w:t>
      </w:r>
      <w:r w:rsidR="00336F88" w:rsidRPr="00912363">
        <w:rPr>
          <w:rFonts w:ascii="Arial" w:hAnsi="Arial" w:cs="Arial"/>
          <w:i/>
          <w:sz w:val="20"/>
          <w:szCs w:val="20"/>
        </w:rPr>
        <w:t>Gyrus</w:t>
      </w:r>
      <w:r w:rsidR="00336F88" w:rsidRPr="00912363">
        <w:rPr>
          <w:rFonts w:ascii="Arial" w:hAnsi="Arial" w:cs="Arial"/>
          <w:sz w:val="20"/>
          <w:szCs w:val="20"/>
        </w:rPr>
        <w:t>. U sklopu rada u Laboratoriju za molekularni neurofarmakologiju pod mentorstvom prof.dr.sc.Melite Šalković-Petrišić sudjelovao sam na znanstvenim istraživanjima na 4 projekta od kojih su 2 trenutno aktivna</w:t>
      </w:r>
      <w:r w:rsidR="00A70236" w:rsidRPr="00912363">
        <w:rPr>
          <w:rFonts w:ascii="Arial" w:hAnsi="Arial" w:cs="Arial"/>
          <w:sz w:val="20"/>
          <w:szCs w:val="20"/>
        </w:rPr>
        <w:t xml:space="preserve"> te sudjelovao u 2 znanstveno-istraživačna posjeta Zavodu za Psihijatriju, psihosomatiku i psihoterapiju Centra za mentalno zdravlje Sveučilišne bolnice u W</w:t>
      </w:r>
      <w:r w:rsidR="00A70236" w:rsidRPr="00912363">
        <w:rPr>
          <w:rFonts w:ascii="Arial" w:hAnsi="Arial" w:cs="Arial"/>
          <w:sz w:val="20"/>
          <w:szCs w:val="20"/>
          <w:lang w:val="en-GB"/>
        </w:rPr>
        <w:t>ürzburgu (sumentorstvo</w:t>
      </w:r>
      <w:r w:rsidR="00912363" w:rsidRPr="00912363">
        <w:rPr>
          <w:rFonts w:ascii="Arial" w:hAnsi="Arial" w:cs="Arial"/>
          <w:sz w:val="20"/>
          <w:szCs w:val="20"/>
          <w:lang w:val="en-GB"/>
        </w:rPr>
        <w:t>:</w:t>
      </w:r>
      <w:r w:rsidR="00A70236" w:rsidRPr="00912363">
        <w:rPr>
          <w:rFonts w:ascii="Arial" w:hAnsi="Arial" w:cs="Arial"/>
          <w:sz w:val="20"/>
          <w:szCs w:val="20"/>
          <w:lang w:val="en-GB"/>
        </w:rPr>
        <w:t xml:space="preserve"> prof.Angelika Gertrud Schmitt)</w:t>
      </w:r>
      <w:r w:rsidR="00336F88" w:rsidRPr="00912363">
        <w:rPr>
          <w:rFonts w:ascii="Arial" w:hAnsi="Arial" w:cs="Arial"/>
          <w:sz w:val="20"/>
          <w:szCs w:val="20"/>
        </w:rPr>
        <w:t xml:space="preserve">. Autor </w:t>
      </w:r>
      <w:r w:rsidR="00A70236" w:rsidRPr="00912363">
        <w:rPr>
          <w:rFonts w:ascii="Arial" w:hAnsi="Arial" w:cs="Arial"/>
          <w:sz w:val="20"/>
          <w:szCs w:val="20"/>
        </w:rPr>
        <w:t xml:space="preserve">i koautor </w:t>
      </w:r>
      <w:r w:rsidR="00336F88" w:rsidRPr="00912363">
        <w:rPr>
          <w:rFonts w:ascii="Arial" w:hAnsi="Arial" w:cs="Arial"/>
          <w:sz w:val="20"/>
          <w:szCs w:val="20"/>
        </w:rPr>
        <w:t xml:space="preserve">sam </w:t>
      </w:r>
      <w:r w:rsidR="00A70236" w:rsidRPr="00912363">
        <w:rPr>
          <w:rFonts w:ascii="Arial" w:hAnsi="Arial" w:cs="Arial"/>
          <w:sz w:val="20"/>
          <w:szCs w:val="20"/>
        </w:rPr>
        <w:t xml:space="preserve">9 kongresnih sažetaka i </w:t>
      </w:r>
      <w:r w:rsidR="00336F88" w:rsidRPr="00912363">
        <w:rPr>
          <w:rFonts w:ascii="Arial" w:hAnsi="Arial" w:cs="Arial"/>
          <w:sz w:val="20"/>
          <w:szCs w:val="20"/>
        </w:rPr>
        <w:t>10 znanstvenih radova (od kojih 2 indeksirana u bazi</w:t>
      </w:r>
      <w:r w:rsidR="00A70236" w:rsidRPr="00912363">
        <w:rPr>
          <w:rFonts w:ascii="Arial" w:hAnsi="Arial" w:cs="Arial"/>
          <w:sz w:val="20"/>
          <w:szCs w:val="20"/>
        </w:rPr>
        <w:t xml:space="preserve"> MEDLINE</w:t>
      </w:r>
      <w:r w:rsidR="00336F88" w:rsidRPr="00912363">
        <w:rPr>
          <w:rFonts w:ascii="Arial" w:hAnsi="Arial" w:cs="Arial"/>
          <w:sz w:val="20"/>
          <w:szCs w:val="20"/>
        </w:rPr>
        <w:t>) s h-indexom 3 i 11 citata</w:t>
      </w:r>
      <w:r w:rsidR="00A70236" w:rsidRPr="00912363">
        <w:rPr>
          <w:rFonts w:ascii="Arial" w:hAnsi="Arial" w:cs="Arial"/>
          <w:sz w:val="20"/>
          <w:szCs w:val="20"/>
        </w:rPr>
        <w:t>. Jedan dio rezultata povezan s istraživanjem prijavljenog rada prikazan je na 1 međunarodnom skupu (</w:t>
      </w:r>
      <w:r w:rsidR="00A70236" w:rsidRPr="00912363">
        <w:rPr>
          <w:rFonts w:ascii="Arial" w:hAnsi="Arial" w:cs="Arial"/>
          <w:iCs/>
          <w:sz w:val="20"/>
          <w:szCs w:val="20"/>
        </w:rPr>
        <w:t>International Congress of the World Association for Stress Related and Anxiety Disorders WASAD 2017)</w:t>
      </w:r>
      <w:r w:rsidR="00912363" w:rsidRPr="00912363">
        <w:rPr>
          <w:rFonts w:ascii="Arial" w:hAnsi="Arial" w:cs="Arial"/>
          <w:iCs/>
          <w:sz w:val="20"/>
          <w:szCs w:val="20"/>
        </w:rPr>
        <w:t xml:space="preserve"> i 1 domaćem skupu (</w:t>
      </w:r>
      <w:r w:rsidR="00912363" w:rsidRPr="00912363">
        <w:rPr>
          <w:rFonts w:ascii="Arial" w:hAnsi="Arial" w:cs="Arial"/>
          <w:iCs/>
          <w:sz w:val="20"/>
          <w:szCs w:val="20"/>
          <w:lang w:val="en-US"/>
        </w:rPr>
        <w:t xml:space="preserve">European certified pharmacologist – EuCPprogram 2017) na kojem sam za prezentirani poster osvojio nagradu za najbolji studentski znanstveni rad. </w:t>
      </w:r>
      <w:r w:rsidR="00912363">
        <w:rPr>
          <w:rFonts w:ascii="Arial" w:hAnsi="Arial" w:cs="Arial"/>
          <w:iCs/>
          <w:sz w:val="20"/>
          <w:szCs w:val="20"/>
          <w:lang w:val="en-US"/>
        </w:rPr>
        <w:br/>
        <w:t>Profesionalno sam se bavio plivanjem 18 godina. Aktivno se bavim sportom i glazbom.</w:t>
      </w:r>
      <w:r w:rsidR="00A70236" w:rsidRPr="00912363">
        <w:rPr>
          <w:rFonts w:ascii="Arial" w:hAnsi="Arial" w:cs="Arial"/>
          <w:sz w:val="20"/>
          <w:szCs w:val="20"/>
        </w:rPr>
        <w:br/>
      </w:r>
    </w:p>
    <w:sectPr w:rsidR="00337D38" w:rsidRPr="00336F88" w:rsidSect="004103E8">
      <w:footerReference w:type="default" r:id="rId2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5B0F1" w14:textId="77777777" w:rsidR="00064F99" w:rsidRDefault="00064F99">
      <w:pPr>
        <w:spacing w:after="0" w:line="240" w:lineRule="auto"/>
      </w:pPr>
      <w:r>
        <w:separator/>
      </w:r>
    </w:p>
  </w:endnote>
  <w:endnote w:type="continuationSeparator" w:id="0">
    <w:p w14:paraId="0EE08749" w14:textId="77777777" w:rsidR="00064F99" w:rsidRDefault="0006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519839"/>
      <w:docPartObj>
        <w:docPartGallery w:val="Page Numbers (Bottom of Page)"/>
        <w:docPartUnique/>
      </w:docPartObj>
    </w:sdtPr>
    <w:sdtEndPr>
      <w:rPr>
        <w:noProof/>
      </w:rPr>
    </w:sdtEndPr>
    <w:sdtContent>
      <w:p w14:paraId="7201E545" w14:textId="041A2C5B" w:rsidR="00336F88" w:rsidRDefault="00336F88" w:rsidP="004103E8">
        <w:pPr>
          <w:pStyle w:val="Footer"/>
          <w:jc w:val="right"/>
        </w:pPr>
        <w:r>
          <w:fldChar w:fldCharType="begin"/>
        </w:r>
        <w:r>
          <w:instrText xml:space="preserve"> PAGE   \* MERGEFORMAT </w:instrText>
        </w:r>
        <w:r>
          <w:fldChar w:fldCharType="separate"/>
        </w:r>
        <w:r w:rsidR="00450815">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681ED" w14:textId="77777777" w:rsidR="00064F99" w:rsidRDefault="00064F99">
      <w:pPr>
        <w:spacing w:after="0" w:line="240" w:lineRule="auto"/>
      </w:pPr>
      <w:r>
        <w:separator/>
      </w:r>
    </w:p>
  </w:footnote>
  <w:footnote w:type="continuationSeparator" w:id="0">
    <w:p w14:paraId="182112E7" w14:textId="77777777" w:rsidR="00064F99" w:rsidRDefault="00064F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86B83"/>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C315DD"/>
    <w:multiLevelType w:val="multilevel"/>
    <w:tmpl w:val="0D04AED6"/>
    <w:lvl w:ilvl="0">
      <w:start w:val="1"/>
      <w:numFmt w:val="decimal"/>
      <w:lvlText w:val="%1."/>
      <w:lvlJc w:val="left"/>
      <w:pPr>
        <w:ind w:left="720" w:hanging="360"/>
      </w:pPr>
      <w:rPr>
        <w:rFonts w:hint="default"/>
      </w:rPr>
    </w:lvl>
    <w:lvl w:ilvl="1">
      <w:start w:val="2"/>
      <w:numFmt w:val="decimal"/>
      <w:isLgl/>
      <w:lvlText w:val="%1.%2."/>
      <w:lvlJc w:val="left"/>
      <w:pPr>
        <w:ind w:left="1224" w:hanging="864"/>
      </w:pPr>
      <w:rPr>
        <w:rFonts w:hint="default"/>
      </w:rPr>
    </w:lvl>
    <w:lvl w:ilvl="2">
      <w:start w:val="9"/>
      <w:numFmt w:val="decimal"/>
      <w:isLgl/>
      <w:lvlText w:val="%1.%2.%3."/>
      <w:lvlJc w:val="left"/>
      <w:pPr>
        <w:ind w:left="1224" w:hanging="864"/>
      </w:pPr>
      <w:rPr>
        <w:rFonts w:hint="default"/>
      </w:rPr>
    </w:lvl>
    <w:lvl w:ilvl="3">
      <w:start w:val="3"/>
      <w:numFmt w:val="decimal"/>
      <w:isLgl/>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31D64B5"/>
    <w:multiLevelType w:val="hybridMultilevel"/>
    <w:tmpl w:val="7FD2027A"/>
    <w:lvl w:ilvl="0" w:tplc="320A1FA0">
      <w:start w:val="1"/>
      <w:numFmt w:val="decimal"/>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5BD3597"/>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490FDA"/>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110C4A"/>
    <w:multiLevelType w:val="multilevel"/>
    <w:tmpl w:val="B734FCA6"/>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b/>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04C3467"/>
    <w:multiLevelType w:val="multilevel"/>
    <w:tmpl w:val="7722B4BE"/>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7D42E3F"/>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C591C65"/>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62404B"/>
    <w:multiLevelType w:val="multilevel"/>
    <w:tmpl w:val="9CB8C7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1664AEB"/>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281838"/>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67E3EB8"/>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C8F6C68"/>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0E930B3"/>
    <w:multiLevelType w:val="multilevel"/>
    <w:tmpl w:val="6142A2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29F69B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4F4237"/>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D24CE5"/>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BC54C73"/>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145120"/>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B277A7"/>
    <w:multiLevelType w:val="multilevel"/>
    <w:tmpl w:val="B734FCA6"/>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b/>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0392777"/>
    <w:multiLevelType w:val="multilevel"/>
    <w:tmpl w:val="B734FCA6"/>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b/>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1B23BD8"/>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6F80A37"/>
    <w:multiLevelType w:val="hybridMultilevel"/>
    <w:tmpl w:val="247AE160"/>
    <w:lvl w:ilvl="0" w:tplc="BAEA3518">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AAE5237"/>
    <w:multiLevelType w:val="multilevel"/>
    <w:tmpl w:val="54F0E72C"/>
    <w:lvl w:ilvl="0">
      <w:start w:val="1"/>
      <w:numFmt w:val="decimal"/>
      <w:lvlText w:val="%1."/>
      <w:lvlJc w:val="left"/>
      <w:pPr>
        <w:ind w:left="786" w:hanging="360"/>
      </w:pPr>
      <w:rPr>
        <w:rFonts w:hint="default"/>
        <w:b/>
        <w:sz w:val="24"/>
        <w:szCs w:val="24"/>
      </w:rPr>
    </w:lvl>
    <w:lvl w:ilvl="1">
      <w:start w:val="1"/>
      <w:numFmt w:val="decimal"/>
      <w:isLgl/>
      <w:lvlText w:val="%1.%2."/>
      <w:lvlJc w:val="left"/>
      <w:pPr>
        <w:ind w:left="1353" w:hanging="360"/>
      </w:pPr>
      <w:rPr>
        <w:rFonts w:ascii="Arial" w:hAnsi="Arial" w:cs="Arial" w:hint="default"/>
        <w:b/>
        <w:sz w:val="24"/>
        <w:szCs w:val="24"/>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ABA2679"/>
    <w:multiLevelType w:val="multilevel"/>
    <w:tmpl w:val="B734FCA6"/>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b/>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EDF2E9C"/>
    <w:multiLevelType w:val="hybridMultilevel"/>
    <w:tmpl w:val="1C2C0A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06C1F0C"/>
    <w:multiLevelType w:val="hybridMultilevel"/>
    <w:tmpl w:val="145C7ECE"/>
    <w:lvl w:ilvl="0" w:tplc="55E6DBC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7273064E"/>
    <w:multiLevelType w:val="hybridMultilevel"/>
    <w:tmpl w:val="161204B0"/>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9" w15:restartNumberingAfterBreak="0">
    <w:nsid w:val="73B41282"/>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4430B5E"/>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D4F07D7"/>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D5F7D66"/>
    <w:multiLevelType w:val="multilevel"/>
    <w:tmpl w:val="B734FCA6"/>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b/>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D8D60D7"/>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E8A3F8C"/>
    <w:multiLevelType w:val="multilevel"/>
    <w:tmpl w:val="25FC8D08"/>
    <w:lvl w:ilvl="0">
      <w:start w:val="1"/>
      <w:numFmt w:val="decimal"/>
      <w:lvlText w:val="%1."/>
      <w:lvlJc w:val="left"/>
      <w:pPr>
        <w:ind w:left="786" w:hanging="360"/>
      </w:pPr>
      <w:rPr>
        <w:rFonts w:hint="default"/>
        <w:b/>
        <w:sz w:val="28"/>
        <w:szCs w:val="28"/>
      </w:rPr>
    </w:lvl>
    <w:lvl w:ilvl="1">
      <w:start w:val="1"/>
      <w:numFmt w:val="decimal"/>
      <w:isLgl/>
      <w:lvlText w:val="%1.%2."/>
      <w:lvlJc w:val="left"/>
      <w:pPr>
        <w:ind w:left="1353" w:hanging="360"/>
      </w:pPr>
      <w:rPr>
        <w:rFonts w:ascii="Arial" w:hAnsi="Arial" w:cs="Arial" w:hint="default"/>
        <w:sz w:val="28"/>
        <w:szCs w:val="28"/>
      </w:rPr>
    </w:lvl>
    <w:lvl w:ilvl="2">
      <w:start w:val="1"/>
      <w:numFmt w:val="decimal"/>
      <w:isLgl/>
      <w:lvlText w:val="%1.%2.%3."/>
      <w:lvlJc w:val="left"/>
      <w:pPr>
        <w:ind w:left="2422" w:hanging="720"/>
      </w:pPr>
      <w:rPr>
        <w:rFonts w:ascii="Arial" w:hAnsi="Arial" w:cs="Arial"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27"/>
  </w:num>
  <w:num w:numId="3">
    <w:abstractNumId w:val="4"/>
  </w:num>
  <w:num w:numId="4">
    <w:abstractNumId w:val="1"/>
  </w:num>
  <w:num w:numId="5">
    <w:abstractNumId w:val="23"/>
  </w:num>
  <w:num w:numId="6">
    <w:abstractNumId w:val="26"/>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
  </w:num>
  <w:num w:numId="10">
    <w:abstractNumId w:val="15"/>
  </w:num>
  <w:num w:numId="11">
    <w:abstractNumId w:val="6"/>
  </w:num>
  <w:num w:numId="12">
    <w:abstractNumId w:val="17"/>
  </w:num>
  <w:num w:numId="13">
    <w:abstractNumId w:val="16"/>
  </w:num>
  <w:num w:numId="14">
    <w:abstractNumId w:val="29"/>
  </w:num>
  <w:num w:numId="15">
    <w:abstractNumId w:val="0"/>
  </w:num>
  <w:num w:numId="16">
    <w:abstractNumId w:val="31"/>
  </w:num>
  <w:num w:numId="17">
    <w:abstractNumId w:val="10"/>
  </w:num>
  <w:num w:numId="18">
    <w:abstractNumId w:val="11"/>
  </w:num>
  <w:num w:numId="19">
    <w:abstractNumId w:val="7"/>
  </w:num>
  <w:num w:numId="20">
    <w:abstractNumId w:val="13"/>
  </w:num>
  <w:num w:numId="21">
    <w:abstractNumId w:val="18"/>
  </w:num>
  <w:num w:numId="22">
    <w:abstractNumId w:val="34"/>
  </w:num>
  <w:num w:numId="23">
    <w:abstractNumId w:val="22"/>
  </w:num>
  <w:num w:numId="24">
    <w:abstractNumId w:val="33"/>
  </w:num>
  <w:num w:numId="25">
    <w:abstractNumId w:val="3"/>
  </w:num>
  <w:num w:numId="26">
    <w:abstractNumId w:val="30"/>
  </w:num>
  <w:num w:numId="27">
    <w:abstractNumId w:val="12"/>
  </w:num>
  <w:num w:numId="28">
    <w:abstractNumId w:val="8"/>
  </w:num>
  <w:num w:numId="29">
    <w:abstractNumId w:val="19"/>
  </w:num>
  <w:num w:numId="30">
    <w:abstractNumId w:val="5"/>
  </w:num>
  <w:num w:numId="31">
    <w:abstractNumId w:val="20"/>
  </w:num>
  <w:num w:numId="32">
    <w:abstractNumId w:val="32"/>
  </w:num>
  <w:num w:numId="33">
    <w:abstractNumId w:val="25"/>
  </w:num>
  <w:num w:numId="34">
    <w:abstractNumId w:val="21"/>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713"/>
    <w:rsid w:val="00035CF3"/>
    <w:rsid w:val="000367E0"/>
    <w:rsid w:val="00041369"/>
    <w:rsid w:val="00045E86"/>
    <w:rsid w:val="00062C6A"/>
    <w:rsid w:val="00063124"/>
    <w:rsid w:val="00064A90"/>
    <w:rsid w:val="00064F99"/>
    <w:rsid w:val="000777B4"/>
    <w:rsid w:val="00080C6F"/>
    <w:rsid w:val="00080D22"/>
    <w:rsid w:val="00084FCD"/>
    <w:rsid w:val="00096996"/>
    <w:rsid w:val="000B2BCD"/>
    <w:rsid w:val="000E0CBC"/>
    <w:rsid w:val="000E668E"/>
    <w:rsid w:val="000F476E"/>
    <w:rsid w:val="000F5C62"/>
    <w:rsid w:val="00105D5F"/>
    <w:rsid w:val="001140EE"/>
    <w:rsid w:val="00124310"/>
    <w:rsid w:val="001363F2"/>
    <w:rsid w:val="00136EBD"/>
    <w:rsid w:val="00137F23"/>
    <w:rsid w:val="00144197"/>
    <w:rsid w:val="0015119E"/>
    <w:rsid w:val="0015389D"/>
    <w:rsid w:val="00171F8E"/>
    <w:rsid w:val="00183272"/>
    <w:rsid w:val="001A3EFA"/>
    <w:rsid w:val="001A47C7"/>
    <w:rsid w:val="001A597C"/>
    <w:rsid w:val="001B2293"/>
    <w:rsid w:val="001C6182"/>
    <w:rsid w:val="001D5178"/>
    <w:rsid w:val="001F53D3"/>
    <w:rsid w:val="0020251C"/>
    <w:rsid w:val="002034E5"/>
    <w:rsid w:val="002078AB"/>
    <w:rsid w:val="00212B10"/>
    <w:rsid w:val="00212E29"/>
    <w:rsid w:val="0021332A"/>
    <w:rsid w:val="00216CFA"/>
    <w:rsid w:val="00235A0C"/>
    <w:rsid w:val="00241C69"/>
    <w:rsid w:val="00260019"/>
    <w:rsid w:val="00272771"/>
    <w:rsid w:val="002755E4"/>
    <w:rsid w:val="00275754"/>
    <w:rsid w:val="00281433"/>
    <w:rsid w:val="0028235B"/>
    <w:rsid w:val="00283A7D"/>
    <w:rsid w:val="00284E5A"/>
    <w:rsid w:val="002926CB"/>
    <w:rsid w:val="002A01F8"/>
    <w:rsid w:val="002A36E5"/>
    <w:rsid w:val="002A3978"/>
    <w:rsid w:val="002C33EB"/>
    <w:rsid w:val="002D6D89"/>
    <w:rsid w:val="002F1BDC"/>
    <w:rsid w:val="002F332E"/>
    <w:rsid w:val="003003EE"/>
    <w:rsid w:val="003116EB"/>
    <w:rsid w:val="00314C75"/>
    <w:rsid w:val="003313F4"/>
    <w:rsid w:val="00333B42"/>
    <w:rsid w:val="00336F88"/>
    <w:rsid w:val="00337D38"/>
    <w:rsid w:val="0035288F"/>
    <w:rsid w:val="00352CC9"/>
    <w:rsid w:val="003744EB"/>
    <w:rsid w:val="00380A71"/>
    <w:rsid w:val="00384871"/>
    <w:rsid w:val="00393B7D"/>
    <w:rsid w:val="00396D9A"/>
    <w:rsid w:val="003A40FB"/>
    <w:rsid w:val="003A48AD"/>
    <w:rsid w:val="003B2543"/>
    <w:rsid w:val="003B2713"/>
    <w:rsid w:val="003B779D"/>
    <w:rsid w:val="003C734E"/>
    <w:rsid w:val="003D54DA"/>
    <w:rsid w:val="003E1F34"/>
    <w:rsid w:val="003F6B12"/>
    <w:rsid w:val="00410389"/>
    <w:rsid w:val="004103E8"/>
    <w:rsid w:val="004121B9"/>
    <w:rsid w:val="00420BA8"/>
    <w:rsid w:val="00422A24"/>
    <w:rsid w:val="00422DCD"/>
    <w:rsid w:val="004247A1"/>
    <w:rsid w:val="00443AAC"/>
    <w:rsid w:val="0044509C"/>
    <w:rsid w:val="00450815"/>
    <w:rsid w:val="004512B2"/>
    <w:rsid w:val="004709B7"/>
    <w:rsid w:val="00475F61"/>
    <w:rsid w:val="004912E7"/>
    <w:rsid w:val="00493FCD"/>
    <w:rsid w:val="0049715B"/>
    <w:rsid w:val="004A1487"/>
    <w:rsid w:val="004A3434"/>
    <w:rsid w:val="004C34BD"/>
    <w:rsid w:val="004D3880"/>
    <w:rsid w:val="004E1AEC"/>
    <w:rsid w:val="004E4AD8"/>
    <w:rsid w:val="004E4EF7"/>
    <w:rsid w:val="004E6645"/>
    <w:rsid w:val="005073F5"/>
    <w:rsid w:val="00511498"/>
    <w:rsid w:val="0052067B"/>
    <w:rsid w:val="005208C9"/>
    <w:rsid w:val="00525F90"/>
    <w:rsid w:val="0052708E"/>
    <w:rsid w:val="00541016"/>
    <w:rsid w:val="00542CB0"/>
    <w:rsid w:val="0054566B"/>
    <w:rsid w:val="0055087A"/>
    <w:rsid w:val="005554B0"/>
    <w:rsid w:val="005634ED"/>
    <w:rsid w:val="005651E9"/>
    <w:rsid w:val="005711F3"/>
    <w:rsid w:val="00580A62"/>
    <w:rsid w:val="00587AC6"/>
    <w:rsid w:val="005A0F0C"/>
    <w:rsid w:val="005A6B37"/>
    <w:rsid w:val="005B036B"/>
    <w:rsid w:val="005B07F1"/>
    <w:rsid w:val="005B0B1D"/>
    <w:rsid w:val="005B6670"/>
    <w:rsid w:val="005C0C16"/>
    <w:rsid w:val="005C7670"/>
    <w:rsid w:val="005D05C6"/>
    <w:rsid w:val="005E3EC7"/>
    <w:rsid w:val="00601A72"/>
    <w:rsid w:val="0060530A"/>
    <w:rsid w:val="006138F7"/>
    <w:rsid w:val="006143D1"/>
    <w:rsid w:val="0061539B"/>
    <w:rsid w:val="006235A8"/>
    <w:rsid w:val="00625D42"/>
    <w:rsid w:val="00627A8A"/>
    <w:rsid w:val="00630406"/>
    <w:rsid w:val="00636381"/>
    <w:rsid w:val="00637FFD"/>
    <w:rsid w:val="0064095A"/>
    <w:rsid w:val="00643864"/>
    <w:rsid w:val="00651A05"/>
    <w:rsid w:val="00653B61"/>
    <w:rsid w:val="006601A6"/>
    <w:rsid w:val="006808AF"/>
    <w:rsid w:val="006819A6"/>
    <w:rsid w:val="00692FC3"/>
    <w:rsid w:val="006C1768"/>
    <w:rsid w:val="006D0DF4"/>
    <w:rsid w:val="006D3635"/>
    <w:rsid w:val="006D4246"/>
    <w:rsid w:val="006F407D"/>
    <w:rsid w:val="006F445C"/>
    <w:rsid w:val="006F67E9"/>
    <w:rsid w:val="00722AAF"/>
    <w:rsid w:val="00746920"/>
    <w:rsid w:val="0075238D"/>
    <w:rsid w:val="007547A6"/>
    <w:rsid w:val="007659B9"/>
    <w:rsid w:val="0077089E"/>
    <w:rsid w:val="00773610"/>
    <w:rsid w:val="00780BB6"/>
    <w:rsid w:val="00780DE8"/>
    <w:rsid w:val="00781EE6"/>
    <w:rsid w:val="00782477"/>
    <w:rsid w:val="007A275F"/>
    <w:rsid w:val="007C7841"/>
    <w:rsid w:val="007D1634"/>
    <w:rsid w:val="007D779C"/>
    <w:rsid w:val="00832357"/>
    <w:rsid w:val="00834D9B"/>
    <w:rsid w:val="00835C1B"/>
    <w:rsid w:val="00847721"/>
    <w:rsid w:val="00862D5B"/>
    <w:rsid w:val="00863DC2"/>
    <w:rsid w:val="00870FD4"/>
    <w:rsid w:val="00872158"/>
    <w:rsid w:val="008A06A1"/>
    <w:rsid w:val="008A2A93"/>
    <w:rsid w:val="008A44EB"/>
    <w:rsid w:val="008C3B25"/>
    <w:rsid w:val="008C799C"/>
    <w:rsid w:val="008D4097"/>
    <w:rsid w:val="008E087B"/>
    <w:rsid w:val="008E12F1"/>
    <w:rsid w:val="008E1E1C"/>
    <w:rsid w:val="008E311E"/>
    <w:rsid w:val="008E4F98"/>
    <w:rsid w:val="008F0336"/>
    <w:rsid w:val="008F2E4B"/>
    <w:rsid w:val="008F4661"/>
    <w:rsid w:val="0090108A"/>
    <w:rsid w:val="0091007F"/>
    <w:rsid w:val="00912363"/>
    <w:rsid w:val="00913839"/>
    <w:rsid w:val="00914B38"/>
    <w:rsid w:val="00917BAD"/>
    <w:rsid w:val="0092222A"/>
    <w:rsid w:val="00922DA7"/>
    <w:rsid w:val="009305F8"/>
    <w:rsid w:val="00945E96"/>
    <w:rsid w:val="00952FD3"/>
    <w:rsid w:val="009552D0"/>
    <w:rsid w:val="00965C76"/>
    <w:rsid w:val="00994EE1"/>
    <w:rsid w:val="009A02A1"/>
    <w:rsid w:val="009A0490"/>
    <w:rsid w:val="009A1243"/>
    <w:rsid w:val="009A64FD"/>
    <w:rsid w:val="009A6E5B"/>
    <w:rsid w:val="009A70BC"/>
    <w:rsid w:val="009B6584"/>
    <w:rsid w:val="009C33C8"/>
    <w:rsid w:val="009D0C09"/>
    <w:rsid w:val="009D5F57"/>
    <w:rsid w:val="009E1244"/>
    <w:rsid w:val="009E3AD7"/>
    <w:rsid w:val="009F3C57"/>
    <w:rsid w:val="00A03850"/>
    <w:rsid w:val="00A40177"/>
    <w:rsid w:val="00A61230"/>
    <w:rsid w:val="00A67E72"/>
    <w:rsid w:val="00A70236"/>
    <w:rsid w:val="00A965FD"/>
    <w:rsid w:val="00AB0568"/>
    <w:rsid w:val="00AB3C24"/>
    <w:rsid w:val="00AB436F"/>
    <w:rsid w:val="00AC3550"/>
    <w:rsid w:val="00AC49B2"/>
    <w:rsid w:val="00AE1162"/>
    <w:rsid w:val="00AE3A60"/>
    <w:rsid w:val="00AF07E5"/>
    <w:rsid w:val="00AF0EA4"/>
    <w:rsid w:val="00B11D6F"/>
    <w:rsid w:val="00B20184"/>
    <w:rsid w:val="00B26533"/>
    <w:rsid w:val="00B34BF3"/>
    <w:rsid w:val="00B572B6"/>
    <w:rsid w:val="00B60CAC"/>
    <w:rsid w:val="00B7079F"/>
    <w:rsid w:val="00B80774"/>
    <w:rsid w:val="00B81210"/>
    <w:rsid w:val="00B82811"/>
    <w:rsid w:val="00B8455A"/>
    <w:rsid w:val="00B92A81"/>
    <w:rsid w:val="00BB4DDF"/>
    <w:rsid w:val="00BD5131"/>
    <w:rsid w:val="00BD663E"/>
    <w:rsid w:val="00BE5DBB"/>
    <w:rsid w:val="00BF1EEC"/>
    <w:rsid w:val="00C01060"/>
    <w:rsid w:val="00C0219F"/>
    <w:rsid w:val="00C14746"/>
    <w:rsid w:val="00C151D4"/>
    <w:rsid w:val="00C20EBA"/>
    <w:rsid w:val="00C21F70"/>
    <w:rsid w:val="00C260AD"/>
    <w:rsid w:val="00C322F5"/>
    <w:rsid w:val="00C3288C"/>
    <w:rsid w:val="00C34523"/>
    <w:rsid w:val="00C42313"/>
    <w:rsid w:val="00C44913"/>
    <w:rsid w:val="00C4664C"/>
    <w:rsid w:val="00C46A65"/>
    <w:rsid w:val="00C503D3"/>
    <w:rsid w:val="00C55C61"/>
    <w:rsid w:val="00C5686C"/>
    <w:rsid w:val="00C627FF"/>
    <w:rsid w:val="00C62D59"/>
    <w:rsid w:val="00C648A3"/>
    <w:rsid w:val="00C66207"/>
    <w:rsid w:val="00C84762"/>
    <w:rsid w:val="00C930F2"/>
    <w:rsid w:val="00C931C3"/>
    <w:rsid w:val="00CA4FE7"/>
    <w:rsid w:val="00CA6E8A"/>
    <w:rsid w:val="00CB0A47"/>
    <w:rsid w:val="00CB61B7"/>
    <w:rsid w:val="00CD440B"/>
    <w:rsid w:val="00CF7D85"/>
    <w:rsid w:val="00D23333"/>
    <w:rsid w:val="00D24F5A"/>
    <w:rsid w:val="00D31786"/>
    <w:rsid w:val="00D44F41"/>
    <w:rsid w:val="00D46669"/>
    <w:rsid w:val="00D55B61"/>
    <w:rsid w:val="00D87EDE"/>
    <w:rsid w:val="00DB66F2"/>
    <w:rsid w:val="00DC097A"/>
    <w:rsid w:val="00DC77FC"/>
    <w:rsid w:val="00DE5C65"/>
    <w:rsid w:val="00DF00F8"/>
    <w:rsid w:val="00DF1F73"/>
    <w:rsid w:val="00DF4769"/>
    <w:rsid w:val="00DF511F"/>
    <w:rsid w:val="00E025D6"/>
    <w:rsid w:val="00E03ABE"/>
    <w:rsid w:val="00E10425"/>
    <w:rsid w:val="00E244F3"/>
    <w:rsid w:val="00E26589"/>
    <w:rsid w:val="00E269B4"/>
    <w:rsid w:val="00E46F50"/>
    <w:rsid w:val="00E50C2E"/>
    <w:rsid w:val="00E513B7"/>
    <w:rsid w:val="00E6634A"/>
    <w:rsid w:val="00E6795A"/>
    <w:rsid w:val="00E70ED1"/>
    <w:rsid w:val="00E7620C"/>
    <w:rsid w:val="00E85DAC"/>
    <w:rsid w:val="00E92C5B"/>
    <w:rsid w:val="00E93E74"/>
    <w:rsid w:val="00EA7F7A"/>
    <w:rsid w:val="00EB716B"/>
    <w:rsid w:val="00EB7997"/>
    <w:rsid w:val="00EC3FB2"/>
    <w:rsid w:val="00ED520B"/>
    <w:rsid w:val="00EE6B8A"/>
    <w:rsid w:val="00EE749E"/>
    <w:rsid w:val="00EE79CA"/>
    <w:rsid w:val="00EF36E4"/>
    <w:rsid w:val="00F0770E"/>
    <w:rsid w:val="00F12B45"/>
    <w:rsid w:val="00F316FC"/>
    <w:rsid w:val="00F35B20"/>
    <w:rsid w:val="00F43077"/>
    <w:rsid w:val="00F43ACB"/>
    <w:rsid w:val="00F60CC5"/>
    <w:rsid w:val="00F62171"/>
    <w:rsid w:val="00F672CF"/>
    <w:rsid w:val="00F762AC"/>
    <w:rsid w:val="00F812E5"/>
    <w:rsid w:val="00F86622"/>
    <w:rsid w:val="00F949E3"/>
    <w:rsid w:val="00FA774B"/>
    <w:rsid w:val="00FD0A2A"/>
    <w:rsid w:val="00FE0229"/>
    <w:rsid w:val="00FE6AAC"/>
    <w:rsid w:val="00FE798C"/>
    <w:rsid w:val="00FF1BB5"/>
    <w:rsid w:val="00FF38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68AA3E9"/>
  <w15:chartTrackingRefBased/>
  <w15:docId w15:val="{9294C12C-42C9-4459-B00F-9A4AC8CD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4EE1"/>
  </w:style>
  <w:style w:type="paragraph" w:styleId="Heading1">
    <w:name w:val="heading 1"/>
    <w:basedOn w:val="Normal"/>
    <w:next w:val="Normal"/>
    <w:link w:val="Heading1Char"/>
    <w:uiPriority w:val="9"/>
    <w:qFormat/>
    <w:rsid w:val="006819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73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73F5"/>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819A6"/>
  </w:style>
  <w:style w:type="character" w:styleId="Emphasis">
    <w:name w:val="Emphasis"/>
    <w:basedOn w:val="DefaultParagraphFont"/>
    <w:uiPriority w:val="20"/>
    <w:qFormat/>
    <w:rsid w:val="006819A6"/>
    <w:rPr>
      <w:i/>
      <w:iCs/>
    </w:rPr>
  </w:style>
  <w:style w:type="character" w:styleId="Hyperlink">
    <w:name w:val="Hyperlink"/>
    <w:basedOn w:val="DefaultParagraphFont"/>
    <w:uiPriority w:val="99"/>
    <w:unhideWhenUsed/>
    <w:rsid w:val="006819A6"/>
    <w:rPr>
      <w:color w:val="0000FF"/>
      <w:u w:val="single"/>
    </w:rPr>
  </w:style>
  <w:style w:type="paragraph" w:styleId="Footer">
    <w:name w:val="footer"/>
    <w:basedOn w:val="Normal"/>
    <w:link w:val="FooterChar"/>
    <w:uiPriority w:val="99"/>
    <w:unhideWhenUsed/>
    <w:rsid w:val="006819A6"/>
    <w:pPr>
      <w:tabs>
        <w:tab w:val="center" w:pos="4680"/>
        <w:tab w:val="right" w:pos="9360"/>
      </w:tabs>
      <w:spacing w:after="0" w:line="240" w:lineRule="auto"/>
    </w:pPr>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rsid w:val="006819A6"/>
    <w:rPr>
      <w:rFonts w:ascii="Times New Roman" w:eastAsia="Times New Roman" w:hAnsi="Times New Roman" w:cs="Times New Roman"/>
      <w:sz w:val="24"/>
      <w:szCs w:val="24"/>
      <w:lang w:eastAsia="hr-HR"/>
    </w:rPr>
  </w:style>
  <w:style w:type="character" w:customStyle="1" w:styleId="Heading1Char">
    <w:name w:val="Heading 1 Char"/>
    <w:basedOn w:val="DefaultParagraphFont"/>
    <w:link w:val="Heading1"/>
    <w:uiPriority w:val="9"/>
    <w:rsid w:val="006819A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819A6"/>
    <w:pPr>
      <w:outlineLvl w:val="9"/>
    </w:pPr>
    <w:rPr>
      <w:lang w:val="en-US"/>
    </w:rPr>
  </w:style>
  <w:style w:type="paragraph" w:styleId="TOC2">
    <w:name w:val="toc 2"/>
    <w:basedOn w:val="Normal"/>
    <w:next w:val="Normal"/>
    <w:autoRedefine/>
    <w:uiPriority w:val="39"/>
    <w:unhideWhenUsed/>
    <w:rsid w:val="006819A6"/>
    <w:pPr>
      <w:tabs>
        <w:tab w:val="left" w:pos="880"/>
        <w:tab w:val="right" w:leader="dot" w:pos="9350"/>
      </w:tabs>
      <w:spacing w:after="100"/>
      <w:ind w:left="220"/>
    </w:pPr>
    <w:rPr>
      <w:rFonts w:ascii="Times New Roman" w:hAnsi="Times New Roman" w:cs="Times New Roman"/>
      <w:b/>
      <w:noProof/>
      <w:lang w:val="en-US"/>
    </w:rPr>
  </w:style>
  <w:style w:type="paragraph" w:styleId="TOC1">
    <w:name w:val="toc 1"/>
    <w:basedOn w:val="Normal"/>
    <w:next w:val="Normal"/>
    <w:autoRedefine/>
    <w:uiPriority w:val="39"/>
    <w:unhideWhenUsed/>
    <w:rsid w:val="006819A6"/>
    <w:pPr>
      <w:tabs>
        <w:tab w:val="left" w:pos="440"/>
        <w:tab w:val="left" w:pos="880"/>
        <w:tab w:val="right" w:leader="dot" w:pos="9350"/>
      </w:tabs>
      <w:spacing w:after="100"/>
    </w:pPr>
    <w:rPr>
      <w:rFonts w:ascii="Times New Roman" w:hAnsi="Times New Roman" w:cs="Times New Roman"/>
      <w:b/>
      <w:noProof/>
      <w:color w:val="000000" w:themeColor="text1"/>
      <w:sz w:val="20"/>
      <w:szCs w:val="20"/>
      <w:lang w:val="en-US"/>
    </w:rPr>
  </w:style>
  <w:style w:type="paragraph" w:styleId="TOC3">
    <w:name w:val="toc 3"/>
    <w:basedOn w:val="Normal"/>
    <w:next w:val="Normal"/>
    <w:autoRedefine/>
    <w:uiPriority w:val="39"/>
    <w:unhideWhenUsed/>
    <w:rsid w:val="006819A6"/>
    <w:pPr>
      <w:spacing w:after="100"/>
      <w:ind w:left="440"/>
    </w:pPr>
    <w:rPr>
      <w:rFonts w:eastAsiaTheme="minorEastAsia" w:cs="Times New Roman"/>
      <w:lang w:val="en-US"/>
    </w:rPr>
  </w:style>
  <w:style w:type="paragraph" w:styleId="ListParagraph">
    <w:name w:val="List Paragraph"/>
    <w:basedOn w:val="Normal"/>
    <w:uiPriority w:val="34"/>
    <w:qFormat/>
    <w:rsid w:val="006819A6"/>
    <w:pPr>
      <w:spacing w:after="0" w:line="240" w:lineRule="auto"/>
      <w:ind w:left="720"/>
      <w:contextualSpacing/>
    </w:pPr>
    <w:rPr>
      <w:rFonts w:ascii="Times New Roman" w:eastAsia="Times New Roman" w:hAnsi="Times New Roman" w:cs="Times New Roman"/>
      <w:sz w:val="24"/>
      <w:szCs w:val="24"/>
      <w:lang w:eastAsia="hr-HR"/>
    </w:rPr>
  </w:style>
  <w:style w:type="character" w:customStyle="1" w:styleId="Heading2Char">
    <w:name w:val="Heading 2 Char"/>
    <w:basedOn w:val="DefaultParagraphFont"/>
    <w:link w:val="Heading2"/>
    <w:uiPriority w:val="9"/>
    <w:rsid w:val="005073F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73F5"/>
    <w:rPr>
      <w:rFonts w:asciiTheme="majorHAnsi" w:eastAsiaTheme="majorEastAsia" w:hAnsiTheme="majorHAnsi" w:cstheme="majorBidi"/>
      <w:color w:val="1F3763" w:themeColor="accent1" w:themeShade="7F"/>
      <w:sz w:val="24"/>
      <w:szCs w:val="24"/>
      <w:lang w:eastAsia="hr-HR"/>
    </w:rPr>
  </w:style>
  <w:style w:type="character" w:styleId="Strong">
    <w:name w:val="Strong"/>
    <w:basedOn w:val="DefaultParagraphFont"/>
    <w:uiPriority w:val="22"/>
    <w:qFormat/>
    <w:rsid w:val="005073F5"/>
    <w:rPr>
      <w:b/>
      <w:bCs/>
    </w:rPr>
  </w:style>
  <w:style w:type="table" w:styleId="TableGrid">
    <w:name w:val="Table Grid"/>
    <w:basedOn w:val="TableNormal"/>
    <w:uiPriority w:val="59"/>
    <w:rsid w:val="00507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124310"/>
    <w:pPr>
      <w:spacing w:after="0" w:line="240" w:lineRule="auto"/>
    </w:pPr>
    <w:rPr>
      <w:rFonts w:ascii="Times New Roman" w:eastAsia="Times New Roman" w:hAnsi="Times New Roman" w:cs="Times New Roman"/>
      <w:sz w:val="24"/>
      <w:szCs w:val="24"/>
      <w:lang w:eastAsia="hr-HR"/>
    </w:rPr>
  </w:style>
  <w:style w:type="paragraph" w:customStyle="1" w:styleId="Citat1">
    <w:name w:val="Citat1"/>
    <w:basedOn w:val="Normal"/>
    <w:next w:val="Normal"/>
    <w:link w:val="CitatChar"/>
    <w:uiPriority w:val="29"/>
    <w:qFormat/>
    <w:rsid w:val="00124310"/>
    <w:pPr>
      <w:tabs>
        <w:tab w:val="left" w:pos="708"/>
      </w:tabs>
      <w:suppressAutoHyphens/>
      <w:spacing w:after="200" w:line="276" w:lineRule="auto"/>
    </w:pPr>
    <w:rPr>
      <w:rFonts w:ascii="Times New Roman" w:eastAsia="Times New Roman" w:hAnsi="Times New Roman" w:cs="Times New Roman"/>
      <w:i/>
      <w:iCs/>
      <w:color w:val="000000"/>
      <w:sz w:val="24"/>
      <w:szCs w:val="24"/>
      <w:lang w:eastAsia="ar-SA"/>
    </w:rPr>
  </w:style>
  <w:style w:type="character" w:customStyle="1" w:styleId="CitatChar">
    <w:name w:val="Citat Char"/>
    <w:basedOn w:val="DefaultParagraphFont"/>
    <w:link w:val="Citat1"/>
    <w:uiPriority w:val="29"/>
    <w:rsid w:val="00124310"/>
    <w:rPr>
      <w:rFonts w:ascii="Times New Roman" w:eastAsia="Times New Roman" w:hAnsi="Times New Roman" w:cs="Times New Roman"/>
      <w:i/>
      <w:iCs/>
      <w:color w:val="000000"/>
      <w:sz w:val="24"/>
      <w:szCs w:val="24"/>
      <w:lang w:eastAsia="ar-SA"/>
    </w:rPr>
  </w:style>
  <w:style w:type="character" w:customStyle="1" w:styleId="apple-style-span">
    <w:name w:val="apple-style-span"/>
    <w:basedOn w:val="DefaultParagraphFont"/>
    <w:rsid w:val="00124310"/>
  </w:style>
  <w:style w:type="character" w:styleId="CommentReference">
    <w:name w:val="annotation reference"/>
    <w:basedOn w:val="DefaultParagraphFont"/>
    <w:uiPriority w:val="99"/>
    <w:semiHidden/>
    <w:unhideWhenUsed/>
    <w:rsid w:val="000E0CBC"/>
    <w:rPr>
      <w:sz w:val="16"/>
      <w:szCs w:val="16"/>
    </w:rPr>
  </w:style>
  <w:style w:type="paragraph" w:styleId="CommentText">
    <w:name w:val="annotation text"/>
    <w:basedOn w:val="Normal"/>
    <w:link w:val="CommentTextChar"/>
    <w:uiPriority w:val="99"/>
    <w:semiHidden/>
    <w:unhideWhenUsed/>
    <w:rsid w:val="000E0CBC"/>
    <w:pPr>
      <w:spacing w:line="240" w:lineRule="auto"/>
    </w:pPr>
    <w:rPr>
      <w:sz w:val="20"/>
      <w:szCs w:val="20"/>
    </w:rPr>
  </w:style>
  <w:style w:type="character" w:customStyle="1" w:styleId="CommentTextChar">
    <w:name w:val="Comment Text Char"/>
    <w:basedOn w:val="DefaultParagraphFont"/>
    <w:link w:val="CommentText"/>
    <w:uiPriority w:val="99"/>
    <w:semiHidden/>
    <w:rsid w:val="000E0CBC"/>
    <w:rPr>
      <w:sz w:val="20"/>
      <w:szCs w:val="20"/>
    </w:rPr>
  </w:style>
  <w:style w:type="paragraph" w:styleId="CommentSubject">
    <w:name w:val="annotation subject"/>
    <w:basedOn w:val="CommentText"/>
    <w:next w:val="CommentText"/>
    <w:link w:val="CommentSubjectChar"/>
    <w:uiPriority w:val="99"/>
    <w:semiHidden/>
    <w:unhideWhenUsed/>
    <w:rsid w:val="000E0CBC"/>
    <w:rPr>
      <w:b/>
      <w:bCs/>
    </w:rPr>
  </w:style>
  <w:style w:type="character" w:customStyle="1" w:styleId="CommentSubjectChar">
    <w:name w:val="Comment Subject Char"/>
    <w:basedOn w:val="CommentTextChar"/>
    <w:link w:val="CommentSubject"/>
    <w:uiPriority w:val="99"/>
    <w:semiHidden/>
    <w:rsid w:val="000E0CBC"/>
    <w:rPr>
      <w:b/>
      <w:bCs/>
      <w:sz w:val="20"/>
      <w:szCs w:val="20"/>
    </w:rPr>
  </w:style>
  <w:style w:type="paragraph" w:styleId="BalloonText">
    <w:name w:val="Balloon Text"/>
    <w:basedOn w:val="Normal"/>
    <w:link w:val="BalloonTextChar"/>
    <w:uiPriority w:val="99"/>
    <w:semiHidden/>
    <w:unhideWhenUsed/>
    <w:rsid w:val="000E0C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CBC"/>
    <w:rPr>
      <w:rFonts w:ascii="Segoe UI" w:hAnsi="Segoe UI" w:cs="Segoe UI"/>
      <w:sz w:val="18"/>
      <w:szCs w:val="18"/>
    </w:rPr>
  </w:style>
  <w:style w:type="character" w:customStyle="1" w:styleId="background-details">
    <w:name w:val="background-details"/>
    <w:basedOn w:val="DefaultParagraphFont"/>
    <w:rsid w:val="00832357"/>
  </w:style>
  <w:style w:type="character" w:customStyle="1" w:styleId="UnresolvedMention1">
    <w:name w:val="Unresolved Mention1"/>
    <w:basedOn w:val="DefaultParagraphFont"/>
    <w:uiPriority w:val="99"/>
    <w:semiHidden/>
    <w:unhideWhenUsed/>
    <w:rsid w:val="00B8455A"/>
    <w:rPr>
      <w:color w:val="808080"/>
      <w:shd w:val="clear" w:color="auto" w:fill="E6E6E6"/>
    </w:rPr>
  </w:style>
  <w:style w:type="character" w:styleId="HTMLCite">
    <w:name w:val="HTML Cite"/>
    <w:basedOn w:val="DefaultParagraphFont"/>
    <w:uiPriority w:val="99"/>
    <w:semiHidden/>
    <w:unhideWhenUsed/>
    <w:rsid w:val="00B8455A"/>
    <w:rPr>
      <w:i/>
      <w:iCs/>
    </w:rPr>
  </w:style>
  <w:style w:type="paragraph" w:styleId="Header">
    <w:name w:val="header"/>
    <w:basedOn w:val="Normal"/>
    <w:link w:val="HeaderChar"/>
    <w:uiPriority w:val="99"/>
    <w:unhideWhenUsed/>
    <w:rsid w:val="00E104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012601">
      <w:bodyDiv w:val="1"/>
      <w:marLeft w:val="0"/>
      <w:marRight w:val="0"/>
      <w:marTop w:val="0"/>
      <w:marBottom w:val="0"/>
      <w:divBdr>
        <w:top w:val="none" w:sz="0" w:space="0" w:color="auto"/>
        <w:left w:val="none" w:sz="0" w:space="0" w:color="auto"/>
        <w:bottom w:val="none" w:sz="0" w:space="0" w:color="auto"/>
        <w:right w:val="none" w:sz="0" w:space="0" w:color="auto"/>
      </w:divBdr>
    </w:div>
    <w:div w:id="526723188">
      <w:bodyDiv w:val="1"/>
      <w:marLeft w:val="0"/>
      <w:marRight w:val="0"/>
      <w:marTop w:val="0"/>
      <w:marBottom w:val="0"/>
      <w:divBdr>
        <w:top w:val="none" w:sz="0" w:space="0" w:color="auto"/>
        <w:left w:val="none" w:sz="0" w:space="0" w:color="auto"/>
        <w:bottom w:val="none" w:sz="0" w:space="0" w:color="auto"/>
        <w:right w:val="none" w:sz="0" w:space="0" w:color="auto"/>
      </w:divBdr>
    </w:div>
    <w:div w:id="941573524">
      <w:bodyDiv w:val="1"/>
      <w:marLeft w:val="0"/>
      <w:marRight w:val="0"/>
      <w:marTop w:val="0"/>
      <w:marBottom w:val="0"/>
      <w:divBdr>
        <w:top w:val="none" w:sz="0" w:space="0" w:color="auto"/>
        <w:left w:val="none" w:sz="0" w:space="0" w:color="auto"/>
        <w:bottom w:val="none" w:sz="0" w:space="0" w:color="auto"/>
        <w:right w:val="none" w:sz="0" w:space="0" w:color="auto"/>
      </w:divBdr>
    </w:div>
    <w:div w:id="1294021723">
      <w:bodyDiv w:val="1"/>
      <w:marLeft w:val="0"/>
      <w:marRight w:val="0"/>
      <w:marTop w:val="0"/>
      <w:marBottom w:val="0"/>
      <w:divBdr>
        <w:top w:val="none" w:sz="0" w:space="0" w:color="auto"/>
        <w:left w:val="none" w:sz="0" w:space="0" w:color="auto"/>
        <w:bottom w:val="none" w:sz="0" w:space="0" w:color="auto"/>
        <w:right w:val="none" w:sz="0" w:space="0" w:color="auto"/>
      </w:divBdr>
      <w:divsChild>
        <w:div w:id="919562792">
          <w:marLeft w:val="0"/>
          <w:marRight w:val="0"/>
          <w:marTop w:val="0"/>
          <w:marBottom w:val="0"/>
          <w:divBdr>
            <w:top w:val="none" w:sz="0" w:space="0" w:color="auto"/>
            <w:left w:val="none" w:sz="0" w:space="0" w:color="auto"/>
            <w:bottom w:val="none" w:sz="0" w:space="0" w:color="auto"/>
            <w:right w:val="none" w:sz="0" w:space="0" w:color="auto"/>
          </w:divBdr>
        </w:div>
        <w:div w:id="601913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9DC5A-14C8-4420-8C75-AEE057C92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36977</Words>
  <Characters>210774</Characters>
  <Application>Microsoft Office Word</Application>
  <DocSecurity>0</DocSecurity>
  <Lines>1756</Lines>
  <Paragraphs>494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homolak</dc:creator>
  <cp:keywords/>
  <dc:description/>
  <cp:lastModifiedBy>jan homolak</cp:lastModifiedBy>
  <cp:revision>3</cp:revision>
  <dcterms:created xsi:type="dcterms:W3CDTF">2018-05-04T06:59:00Z</dcterms:created>
  <dcterms:modified xsi:type="dcterms:W3CDTF">2018-05-04T07:14:00Z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http://www.zotero.org/styles/american-medical-association-no-url</vt:lpwstr>
  </property>
  <property fmtid="{D5CDD505-2E9C-101B-9397-08002B2CF9AE}" pid="3" name="Mendeley Recent Style Name 0_1">
    <vt:lpwstr>American Medical Association (no URL)</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http://www.zotero.org/styles/medical-hypotheses</vt:lpwstr>
  </property>
  <property fmtid="{D5CDD505-2E9C-101B-9397-08002B2CF9AE}" pid="15" name="Mendeley Recent Style Name 6_1">
    <vt:lpwstr>Medical Hypotheses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2e129adf-603b-355b-8fdb-ede0c9285fe4</vt:lpwstr>
  </property>
  <property fmtid="{D5CDD505-2E9C-101B-9397-08002B2CF9AE}" pid="24" name="Mendeley Citation Style_1">
    <vt:lpwstr>http://www.zotero.org/styles/vancouver</vt:lpwstr>
  </property>
</Properties>
</file>