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22D8E" w14:textId="77777777" w:rsidR="00076856" w:rsidRDefault="00DE4299" w:rsidP="00756C58">
      <w:pPr>
        <w:pBdr>
          <w:top w:val="nil"/>
          <w:left w:val="nil"/>
          <w:bottom w:val="nil"/>
          <w:right w:val="nil"/>
          <w:between w:val="nil"/>
        </w:pBdr>
        <w:spacing w:after="0" w:line="360" w:lineRule="auto"/>
        <w:jc w:val="center"/>
        <w:rPr>
          <w:rFonts w:ascii="Arial" w:eastAsia="Arial" w:hAnsi="Arial" w:cs="Arial"/>
          <w:b/>
          <w:color w:val="000000"/>
          <w:sz w:val="28"/>
          <w:szCs w:val="28"/>
        </w:rPr>
      </w:pPr>
      <w:r>
        <w:rPr>
          <w:rFonts w:ascii="Arial" w:eastAsia="Arial" w:hAnsi="Arial" w:cs="Arial"/>
          <w:b/>
          <w:color w:val="000000"/>
          <w:sz w:val="28"/>
          <w:szCs w:val="28"/>
        </w:rPr>
        <w:t>Sveučilište u Zagrebu</w:t>
      </w:r>
    </w:p>
    <w:p w14:paraId="1A0A8AE9" w14:textId="166F2D3A" w:rsidR="00076856" w:rsidRDefault="00DE4299" w:rsidP="00756C58">
      <w:pPr>
        <w:pBdr>
          <w:top w:val="nil"/>
          <w:left w:val="nil"/>
          <w:bottom w:val="nil"/>
          <w:right w:val="nil"/>
          <w:between w:val="nil"/>
        </w:pBdr>
        <w:spacing w:after="0" w:line="360" w:lineRule="auto"/>
        <w:jc w:val="center"/>
        <w:rPr>
          <w:rFonts w:ascii="Arial" w:eastAsia="Arial" w:hAnsi="Arial" w:cs="Arial"/>
          <w:b/>
          <w:color w:val="000000"/>
          <w:sz w:val="28"/>
          <w:szCs w:val="28"/>
        </w:rPr>
      </w:pPr>
      <w:r>
        <w:rPr>
          <w:rFonts w:ascii="Arial" w:eastAsia="Arial" w:hAnsi="Arial" w:cs="Arial"/>
          <w:b/>
          <w:color w:val="000000"/>
          <w:sz w:val="28"/>
          <w:szCs w:val="28"/>
        </w:rPr>
        <w:t>Medicinski fakultet</w:t>
      </w:r>
      <w:r w:rsidR="00FB2F2F">
        <w:rPr>
          <w:rFonts w:ascii="Arial" w:eastAsia="Arial" w:hAnsi="Arial" w:cs="Arial"/>
          <w:b/>
          <w:color w:val="000000"/>
          <w:sz w:val="28"/>
          <w:szCs w:val="28"/>
        </w:rPr>
        <w:t xml:space="preserve"> i Filozofski fakultet</w:t>
      </w:r>
    </w:p>
    <w:p w14:paraId="217FDCD2" w14:textId="77777777" w:rsidR="00076856" w:rsidRDefault="00076856" w:rsidP="00756C58">
      <w:pPr>
        <w:pBdr>
          <w:top w:val="nil"/>
          <w:left w:val="nil"/>
          <w:bottom w:val="nil"/>
          <w:right w:val="nil"/>
          <w:between w:val="nil"/>
        </w:pBdr>
        <w:spacing w:after="0" w:line="360" w:lineRule="auto"/>
        <w:ind w:left="720"/>
        <w:rPr>
          <w:rFonts w:ascii="Arial" w:eastAsia="Arial" w:hAnsi="Arial" w:cs="Arial"/>
          <w:color w:val="000000"/>
        </w:rPr>
      </w:pPr>
    </w:p>
    <w:p w14:paraId="41472567" w14:textId="77777777" w:rsidR="00076856" w:rsidRDefault="00076856" w:rsidP="00756C58">
      <w:pPr>
        <w:pBdr>
          <w:top w:val="nil"/>
          <w:left w:val="nil"/>
          <w:bottom w:val="nil"/>
          <w:right w:val="nil"/>
          <w:between w:val="nil"/>
        </w:pBdr>
        <w:spacing w:after="0" w:line="360" w:lineRule="auto"/>
        <w:ind w:left="720"/>
        <w:rPr>
          <w:rFonts w:ascii="Arial" w:eastAsia="Arial" w:hAnsi="Arial" w:cs="Arial"/>
          <w:color w:val="000000"/>
        </w:rPr>
      </w:pPr>
    </w:p>
    <w:p w14:paraId="6172B456" w14:textId="77777777" w:rsidR="00076856" w:rsidRDefault="00076856" w:rsidP="00756C58">
      <w:pPr>
        <w:pBdr>
          <w:top w:val="nil"/>
          <w:left w:val="nil"/>
          <w:bottom w:val="nil"/>
          <w:right w:val="nil"/>
          <w:between w:val="nil"/>
        </w:pBdr>
        <w:spacing w:after="0" w:line="360" w:lineRule="auto"/>
        <w:ind w:left="720"/>
        <w:rPr>
          <w:rFonts w:ascii="Arial" w:eastAsia="Arial" w:hAnsi="Arial" w:cs="Arial"/>
          <w:color w:val="000000"/>
        </w:rPr>
      </w:pPr>
    </w:p>
    <w:p w14:paraId="087D31DE" w14:textId="77777777" w:rsidR="00076856" w:rsidRDefault="00076856" w:rsidP="00756C58">
      <w:pPr>
        <w:pBdr>
          <w:top w:val="nil"/>
          <w:left w:val="nil"/>
          <w:bottom w:val="nil"/>
          <w:right w:val="nil"/>
          <w:between w:val="nil"/>
        </w:pBdr>
        <w:spacing w:after="0" w:line="360" w:lineRule="auto"/>
        <w:ind w:left="720"/>
        <w:rPr>
          <w:rFonts w:ascii="Arial" w:eastAsia="Arial" w:hAnsi="Arial" w:cs="Arial"/>
          <w:color w:val="000000"/>
        </w:rPr>
      </w:pPr>
    </w:p>
    <w:p w14:paraId="45EED755" w14:textId="77777777" w:rsidR="00076856" w:rsidRDefault="00076856" w:rsidP="00756C58">
      <w:pPr>
        <w:pBdr>
          <w:top w:val="nil"/>
          <w:left w:val="nil"/>
          <w:bottom w:val="nil"/>
          <w:right w:val="nil"/>
          <w:between w:val="nil"/>
        </w:pBdr>
        <w:spacing w:after="0" w:line="360" w:lineRule="auto"/>
        <w:ind w:left="720"/>
        <w:rPr>
          <w:rFonts w:ascii="Arial" w:eastAsia="Arial" w:hAnsi="Arial" w:cs="Arial"/>
          <w:color w:val="000000"/>
        </w:rPr>
      </w:pPr>
    </w:p>
    <w:p w14:paraId="76C7AEDE" w14:textId="77777777" w:rsidR="00076856" w:rsidRDefault="00076856" w:rsidP="00756C58">
      <w:pPr>
        <w:pBdr>
          <w:top w:val="nil"/>
          <w:left w:val="nil"/>
          <w:bottom w:val="nil"/>
          <w:right w:val="nil"/>
          <w:between w:val="nil"/>
        </w:pBdr>
        <w:spacing w:after="0" w:line="360" w:lineRule="auto"/>
        <w:ind w:left="720"/>
        <w:rPr>
          <w:rFonts w:ascii="Arial" w:eastAsia="Arial" w:hAnsi="Arial" w:cs="Arial"/>
          <w:color w:val="000000"/>
        </w:rPr>
      </w:pPr>
    </w:p>
    <w:p w14:paraId="658C766E" w14:textId="77777777" w:rsidR="00076856" w:rsidRDefault="00076856" w:rsidP="00756C58">
      <w:pPr>
        <w:pBdr>
          <w:top w:val="nil"/>
          <w:left w:val="nil"/>
          <w:bottom w:val="nil"/>
          <w:right w:val="nil"/>
          <w:between w:val="nil"/>
        </w:pBdr>
        <w:spacing w:after="0" w:line="360" w:lineRule="auto"/>
        <w:ind w:left="720"/>
        <w:rPr>
          <w:rFonts w:ascii="Arial" w:eastAsia="Arial" w:hAnsi="Arial" w:cs="Arial"/>
          <w:color w:val="000000"/>
        </w:rPr>
      </w:pPr>
    </w:p>
    <w:p w14:paraId="58A8367F" w14:textId="77777777" w:rsidR="00076856" w:rsidRDefault="00076856" w:rsidP="00756C58">
      <w:pPr>
        <w:pBdr>
          <w:top w:val="nil"/>
          <w:left w:val="nil"/>
          <w:bottom w:val="nil"/>
          <w:right w:val="nil"/>
          <w:between w:val="nil"/>
        </w:pBdr>
        <w:spacing w:after="0" w:line="360" w:lineRule="auto"/>
        <w:ind w:left="720"/>
        <w:rPr>
          <w:rFonts w:ascii="Arial" w:eastAsia="Arial" w:hAnsi="Arial" w:cs="Arial"/>
          <w:color w:val="000000"/>
        </w:rPr>
      </w:pPr>
    </w:p>
    <w:p w14:paraId="483F8C7D" w14:textId="77777777" w:rsidR="00076856" w:rsidRDefault="00076856" w:rsidP="001F4832">
      <w:pPr>
        <w:pBdr>
          <w:top w:val="nil"/>
          <w:left w:val="nil"/>
          <w:bottom w:val="nil"/>
          <w:right w:val="nil"/>
          <w:between w:val="nil"/>
        </w:pBdr>
        <w:spacing w:after="0" w:line="360" w:lineRule="auto"/>
        <w:rPr>
          <w:rFonts w:ascii="Arial" w:eastAsia="Arial" w:hAnsi="Arial" w:cs="Arial"/>
          <w:color w:val="000000"/>
        </w:rPr>
      </w:pPr>
    </w:p>
    <w:p w14:paraId="48FD75E5" w14:textId="77777777" w:rsidR="00076856" w:rsidRDefault="00076856" w:rsidP="00756C58">
      <w:pPr>
        <w:pBdr>
          <w:top w:val="nil"/>
          <w:left w:val="nil"/>
          <w:bottom w:val="nil"/>
          <w:right w:val="nil"/>
          <w:between w:val="nil"/>
        </w:pBdr>
        <w:spacing w:after="0" w:line="360" w:lineRule="auto"/>
        <w:ind w:left="720"/>
        <w:rPr>
          <w:rFonts w:ascii="Arial" w:eastAsia="Arial" w:hAnsi="Arial" w:cs="Arial"/>
          <w:color w:val="000000"/>
        </w:rPr>
      </w:pPr>
    </w:p>
    <w:p w14:paraId="3EA0ADE7" w14:textId="77777777" w:rsidR="00076856" w:rsidRDefault="00076856" w:rsidP="00756C58">
      <w:pPr>
        <w:pBdr>
          <w:top w:val="nil"/>
          <w:left w:val="nil"/>
          <w:bottom w:val="nil"/>
          <w:right w:val="nil"/>
          <w:between w:val="nil"/>
        </w:pBdr>
        <w:spacing w:after="0" w:line="360" w:lineRule="auto"/>
        <w:ind w:left="720"/>
        <w:jc w:val="center"/>
        <w:rPr>
          <w:rFonts w:ascii="Arial" w:eastAsia="Arial" w:hAnsi="Arial" w:cs="Arial"/>
          <w:b/>
          <w:color w:val="000000"/>
          <w:sz w:val="28"/>
          <w:szCs w:val="28"/>
        </w:rPr>
      </w:pPr>
    </w:p>
    <w:p w14:paraId="353C5D59" w14:textId="750DBA5C" w:rsidR="00076856" w:rsidRDefault="00DE4299" w:rsidP="00756C58">
      <w:pPr>
        <w:pBdr>
          <w:top w:val="nil"/>
          <w:left w:val="nil"/>
          <w:bottom w:val="nil"/>
          <w:right w:val="nil"/>
          <w:between w:val="nil"/>
        </w:pBdr>
        <w:spacing w:after="0" w:line="360" w:lineRule="auto"/>
        <w:jc w:val="center"/>
        <w:rPr>
          <w:rFonts w:ascii="Arial" w:eastAsia="Arial" w:hAnsi="Arial" w:cs="Arial"/>
          <w:b/>
          <w:sz w:val="28"/>
          <w:szCs w:val="28"/>
        </w:rPr>
      </w:pPr>
      <w:r>
        <w:rPr>
          <w:rFonts w:ascii="Arial" w:eastAsia="Arial" w:hAnsi="Arial" w:cs="Arial"/>
          <w:b/>
          <w:sz w:val="28"/>
          <w:szCs w:val="28"/>
        </w:rPr>
        <w:t xml:space="preserve"> Filip Anton Božinović, Emanuel Brađašević, Ema Kuhar, Tihana Kuljiš i Filip Tiljak</w:t>
      </w:r>
    </w:p>
    <w:p w14:paraId="67D5DE6B" w14:textId="77777777" w:rsidR="00076856" w:rsidRDefault="00076856" w:rsidP="00756C58">
      <w:pPr>
        <w:pBdr>
          <w:top w:val="nil"/>
          <w:left w:val="nil"/>
          <w:bottom w:val="nil"/>
          <w:right w:val="nil"/>
          <w:between w:val="nil"/>
        </w:pBdr>
        <w:spacing w:after="0" w:line="360" w:lineRule="auto"/>
        <w:ind w:left="720"/>
        <w:jc w:val="center"/>
        <w:rPr>
          <w:rFonts w:ascii="Arial" w:eastAsia="Arial" w:hAnsi="Arial" w:cs="Arial"/>
          <w:b/>
          <w:sz w:val="28"/>
          <w:szCs w:val="28"/>
        </w:rPr>
      </w:pPr>
    </w:p>
    <w:p w14:paraId="12C2ACD4" w14:textId="77777777" w:rsidR="00076856" w:rsidRDefault="00DE4299" w:rsidP="00756C58">
      <w:pPr>
        <w:pBdr>
          <w:top w:val="nil"/>
          <w:left w:val="nil"/>
          <w:bottom w:val="nil"/>
          <w:right w:val="nil"/>
          <w:between w:val="nil"/>
        </w:pBdr>
        <w:spacing w:after="0" w:line="360" w:lineRule="auto"/>
        <w:jc w:val="center"/>
        <w:rPr>
          <w:rFonts w:ascii="Arial" w:eastAsia="Arial" w:hAnsi="Arial" w:cs="Arial"/>
          <w:b/>
          <w:color w:val="000000"/>
          <w:sz w:val="32"/>
          <w:szCs w:val="32"/>
        </w:rPr>
      </w:pPr>
      <w:r>
        <w:rPr>
          <w:rFonts w:ascii="Arial" w:eastAsia="Arial" w:hAnsi="Arial" w:cs="Arial"/>
          <w:b/>
          <w:sz w:val="32"/>
          <w:szCs w:val="32"/>
        </w:rPr>
        <w:t>Razina ovisnosti o nikotinu i spremnost za prihvaćanje medikamentozne potpore u prestanku pušenja među studentima u Republici Hrvatskoj</w:t>
      </w:r>
    </w:p>
    <w:p w14:paraId="516D0174" w14:textId="77777777" w:rsidR="00076856" w:rsidRDefault="00076856" w:rsidP="00756C58">
      <w:pPr>
        <w:pBdr>
          <w:top w:val="nil"/>
          <w:left w:val="nil"/>
          <w:bottom w:val="nil"/>
          <w:right w:val="nil"/>
          <w:between w:val="nil"/>
        </w:pBdr>
        <w:spacing w:after="0" w:line="360" w:lineRule="auto"/>
        <w:ind w:left="720"/>
        <w:rPr>
          <w:rFonts w:ascii="Arial" w:eastAsia="Arial" w:hAnsi="Arial" w:cs="Arial"/>
          <w:color w:val="000000"/>
        </w:rPr>
      </w:pPr>
    </w:p>
    <w:p w14:paraId="5DDDA112" w14:textId="77777777" w:rsidR="00076856" w:rsidRDefault="00076856" w:rsidP="00756C58">
      <w:pPr>
        <w:pBdr>
          <w:top w:val="nil"/>
          <w:left w:val="nil"/>
          <w:bottom w:val="nil"/>
          <w:right w:val="nil"/>
          <w:between w:val="nil"/>
        </w:pBdr>
        <w:spacing w:after="0" w:line="360" w:lineRule="auto"/>
        <w:ind w:left="720"/>
        <w:rPr>
          <w:rFonts w:ascii="Arial" w:eastAsia="Arial" w:hAnsi="Arial" w:cs="Arial"/>
          <w:color w:val="000000"/>
        </w:rPr>
      </w:pPr>
    </w:p>
    <w:p w14:paraId="1A7918E4" w14:textId="77777777" w:rsidR="00076856" w:rsidRDefault="00076856" w:rsidP="00756C58">
      <w:pPr>
        <w:pBdr>
          <w:top w:val="nil"/>
          <w:left w:val="nil"/>
          <w:bottom w:val="nil"/>
          <w:right w:val="nil"/>
          <w:between w:val="nil"/>
        </w:pBdr>
        <w:spacing w:after="0" w:line="360" w:lineRule="auto"/>
        <w:ind w:left="720"/>
        <w:rPr>
          <w:rFonts w:ascii="Arial" w:eastAsia="Arial" w:hAnsi="Arial" w:cs="Arial"/>
          <w:color w:val="000000"/>
        </w:rPr>
      </w:pPr>
    </w:p>
    <w:p w14:paraId="32BCA524" w14:textId="77777777" w:rsidR="00076856" w:rsidRDefault="00076856" w:rsidP="00756C58">
      <w:pPr>
        <w:pBdr>
          <w:top w:val="nil"/>
          <w:left w:val="nil"/>
          <w:bottom w:val="nil"/>
          <w:right w:val="nil"/>
          <w:between w:val="nil"/>
        </w:pBdr>
        <w:spacing w:after="0" w:line="360" w:lineRule="auto"/>
        <w:ind w:left="720"/>
        <w:rPr>
          <w:rFonts w:ascii="Arial" w:eastAsia="Arial" w:hAnsi="Arial" w:cs="Arial"/>
          <w:color w:val="000000"/>
        </w:rPr>
      </w:pPr>
    </w:p>
    <w:p w14:paraId="0A182668" w14:textId="77777777" w:rsidR="00076856" w:rsidRDefault="00076856" w:rsidP="00756C58">
      <w:pPr>
        <w:pBdr>
          <w:top w:val="nil"/>
          <w:left w:val="nil"/>
          <w:bottom w:val="nil"/>
          <w:right w:val="nil"/>
          <w:between w:val="nil"/>
        </w:pBdr>
        <w:spacing w:after="0" w:line="360" w:lineRule="auto"/>
        <w:ind w:left="720"/>
        <w:rPr>
          <w:rFonts w:ascii="Arial" w:eastAsia="Arial" w:hAnsi="Arial" w:cs="Arial"/>
          <w:color w:val="000000"/>
        </w:rPr>
      </w:pPr>
    </w:p>
    <w:p w14:paraId="5B860C77" w14:textId="77777777" w:rsidR="00076856" w:rsidRDefault="00076856" w:rsidP="00756C58">
      <w:pPr>
        <w:pBdr>
          <w:top w:val="nil"/>
          <w:left w:val="nil"/>
          <w:bottom w:val="nil"/>
          <w:right w:val="nil"/>
          <w:between w:val="nil"/>
        </w:pBdr>
        <w:spacing w:after="0" w:line="360" w:lineRule="auto"/>
        <w:ind w:left="720"/>
        <w:rPr>
          <w:rFonts w:ascii="Arial" w:eastAsia="Arial" w:hAnsi="Arial" w:cs="Arial"/>
          <w:color w:val="000000"/>
        </w:rPr>
      </w:pPr>
    </w:p>
    <w:p w14:paraId="40992346" w14:textId="77777777" w:rsidR="00076856" w:rsidRDefault="00076856" w:rsidP="00756C58">
      <w:pPr>
        <w:pBdr>
          <w:top w:val="nil"/>
          <w:left w:val="nil"/>
          <w:bottom w:val="nil"/>
          <w:right w:val="nil"/>
          <w:between w:val="nil"/>
        </w:pBdr>
        <w:spacing w:after="0" w:line="360" w:lineRule="auto"/>
        <w:rPr>
          <w:rFonts w:ascii="Arial" w:eastAsia="Arial" w:hAnsi="Arial" w:cs="Arial"/>
          <w:color w:val="000000"/>
        </w:rPr>
      </w:pPr>
    </w:p>
    <w:p w14:paraId="4DEAF970" w14:textId="77777777" w:rsidR="00076856" w:rsidRDefault="00076856" w:rsidP="00756C58">
      <w:pPr>
        <w:spacing w:line="360" w:lineRule="auto"/>
        <w:rPr>
          <w:rFonts w:ascii="Arial" w:eastAsia="Arial" w:hAnsi="Arial" w:cs="Arial"/>
        </w:rPr>
      </w:pPr>
    </w:p>
    <w:p w14:paraId="4A7022B1" w14:textId="77777777" w:rsidR="00076856" w:rsidRDefault="00076856" w:rsidP="00756C58">
      <w:pPr>
        <w:spacing w:line="360" w:lineRule="auto"/>
        <w:rPr>
          <w:rFonts w:ascii="Arial" w:eastAsia="Arial" w:hAnsi="Arial" w:cs="Arial"/>
        </w:rPr>
      </w:pPr>
    </w:p>
    <w:p w14:paraId="4AEFB472" w14:textId="77777777" w:rsidR="00076856" w:rsidRDefault="00076856" w:rsidP="00756C58">
      <w:pPr>
        <w:spacing w:line="360" w:lineRule="auto"/>
        <w:rPr>
          <w:rFonts w:ascii="Arial" w:eastAsia="Arial" w:hAnsi="Arial" w:cs="Arial"/>
        </w:rPr>
      </w:pPr>
    </w:p>
    <w:p w14:paraId="68EA5294" w14:textId="77777777" w:rsidR="00076856" w:rsidRDefault="00DE4299" w:rsidP="001F4832">
      <w:pPr>
        <w:spacing w:line="360" w:lineRule="auto"/>
        <w:jc w:val="center"/>
        <w:rPr>
          <w:rFonts w:ascii="Arial" w:eastAsia="Arial" w:hAnsi="Arial" w:cs="Arial"/>
          <w:b/>
          <w:sz w:val="28"/>
          <w:szCs w:val="28"/>
        </w:rPr>
      </w:pPr>
      <w:r>
        <w:rPr>
          <w:rFonts w:ascii="Arial" w:eastAsia="Arial" w:hAnsi="Arial" w:cs="Arial"/>
          <w:b/>
          <w:sz w:val="28"/>
          <w:szCs w:val="28"/>
        </w:rPr>
        <w:t>Zagreb, 2021.</w:t>
      </w:r>
    </w:p>
    <w:p w14:paraId="006ED774" w14:textId="77777777" w:rsidR="00076856" w:rsidRPr="00141858" w:rsidRDefault="00DE4299" w:rsidP="00756C58">
      <w:pPr>
        <w:pBdr>
          <w:top w:val="nil"/>
          <w:left w:val="nil"/>
          <w:bottom w:val="nil"/>
          <w:right w:val="nil"/>
          <w:between w:val="nil"/>
        </w:pBdr>
        <w:spacing w:after="0" w:line="360" w:lineRule="auto"/>
        <w:jc w:val="both"/>
        <w:rPr>
          <w:rFonts w:ascii="Arial" w:eastAsia="Arial" w:hAnsi="Arial" w:cs="Arial"/>
          <w:i/>
          <w:color w:val="000000"/>
        </w:rPr>
      </w:pPr>
      <w:r w:rsidRPr="00141858">
        <w:rPr>
          <w:rFonts w:ascii="Arial" w:eastAsia="Arial" w:hAnsi="Arial" w:cs="Arial"/>
          <w:i/>
          <w:color w:val="000000"/>
        </w:rPr>
        <w:lastRenderedPageBreak/>
        <w:t xml:space="preserve">Ovaj rad izrađen je </w:t>
      </w:r>
      <w:r w:rsidRPr="00141858">
        <w:rPr>
          <w:rFonts w:ascii="Arial" w:eastAsia="Arial" w:hAnsi="Arial" w:cs="Arial"/>
          <w:i/>
        </w:rPr>
        <w:t>na Medicinskom fakultetu Sveučilišta u Zagrebu</w:t>
      </w:r>
      <w:r w:rsidRPr="00141858">
        <w:rPr>
          <w:rFonts w:ascii="Arial" w:eastAsia="Arial" w:hAnsi="Arial" w:cs="Arial"/>
          <w:i/>
          <w:color w:val="000000"/>
        </w:rPr>
        <w:t xml:space="preserve"> pod vodstvom </w:t>
      </w:r>
      <w:r w:rsidRPr="00141858">
        <w:rPr>
          <w:rFonts w:ascii="Arial" w:eastAsia="Arial" w:hAnsi="Arial" w:cs="Arial"/>
          <w:i/>
        </w:rPr>
        <w:t>p</w:t>
      </w:r>
      <w:r w:rsidRPr="00141858">
        <w:rPr>
          <w:rFonts w:ascii="Arial" w:eastAsia="Arial" w:hAnsi="Arial" w:cs="Arial"/>
          <w:i/>
          <w:color w:val="000000"/>
        </w:rPr>
        <w:t xml:space="preserve">rof.dr.sc Stjepana Oreškovića, u sklopu znanstvenog projekta </w:t>
      </w:r>
      <w:r w:rsidRPr="00141858">
        <w:rPr>
          <w:rFonts w:ascii="Arial" w:eastAsia="Arial" w:hAnsi="Arial" w:cs="Arial"/>
          <w:i/>
        </w:rPr>
        <w:t>“Usporedba učinkovitosti Vareniklina i Citizina u odvikavanju od pušenja nikotina u primarnoj zdravstvenoj zaštiti” - randomizirana kontrolirana studija (studija LPPHR2018) čiji je naručitelj  Pfizer Inc.  - Global Research Awards for Nicotine Dependence (GRAND), a nositelj Medicinski fakultet Sveučilišta u Zagrebu</w:t>
      </w:r>
      <w:r w:rsidRPr="00141858">
        <w:rPr>
          <w:rFonts w:ascii="Arial" w:eastAsia="Arial" w:hAnsi="Arial" w:cs="Arial"/>
          <w:i/>
          <w:color w:val="000000"/>
        </w:rPr>
        <w:t xml:space="preserve"> </w:t>
      </w:r>
      <w:r w:rsidRPr="00141858">
        <w:rPr>
          <w:rFonts w:ascii="Arial" w:eastAsia="Arial" w:hAnsi="Arial" w:cs="Arial"/>
          <w:i/>
        </w:rPr>
        <w:t>(voditelj projekta: prof.dr.sc. Stjepan Orešković)</w:t>
      </w:r>
      <w:r w:rsidRPr="00141858">
        <w:rPr>
          <w:rFonts w:ascii="Arial" w:eastAsia="Arial" w:hAnsi="Arial" w:cs="Arial"/>
          <w:i/>
          <w:color w:val="000000"/>
        </w:rPr>
        <w:t xml:space="preserve"> i predan je na natječaj za dodjelu Rektorove nagrade u akademskoj godini 2020./2021.</w:t>
      </w:r>
    </w:p>
    <w:p w14:paraId="374C2EE5" w14:textId="77777777" w:rsidR="00076856" w:rsidRDefault="00076856" w:rsidP="00756C58">
      <w:pPr>
        <w:spacing w:line="360" w:lineRule="auto"/>
        <w:jc w:val="both"/>
        <w:rPr>
          <w:rFonts w:ascii="Arial" w:eastAsia="Arial" w:hAnsi="Arial" w:cs="Arial"/>
        </w:rPr>
      </w:pPr>
    </w:p>
    <w:p w14:paraId="00AFD20D" w14:textId="77777777" w:rsidR="00076856" w:rsidRDefault="00076856" w:rsidP="00756C58">
      <w:pPr>
        <w:spacing w:line="360" w:lineRule="auto"/>
        <w:jc w:val="center"/>
        <w:rPr>
          <w:rFonts w:ascii="Arial" w:eastAsia="Arial" w:hAnsi="Arial" w:cs="Arial"/>
        </w:rPr>
      </w:pPr>
    </w:p>
    <w:p w14:paraId="7419E6E8" w14:textId="77777777" w:rsidR="00076856" w:rsidRDefault="00076856" w:rsidP="00756C58">
      <w:pPr>
        <w:spacing w:line="360" w:lineRule="auto"/>
        <w:jc w:val="center"/>
        <w:rPr>
          <w:rFonts w:ascii="Arial" w:eastAsia="Arial" w:hAnsi="Arial" w:cs="Arial"/>
        </w:rPr>
      </w:pPr>
    </w:p>
    <w:p w14:paraId="20BC363D" w14:textId="77777777" w:rsidR="00076856" w:rsidRDefault="00076856" w:rsidP="00756C58">
      <w:pPr>
        <w:spacing w:line="360" w:lineRule="auto"/>
        <w:jc w:val="center"/>
        <w:rPr>
          <w:rFonts w:ascii="Arial" w:eastAsia="Arial" w:hAnsi="Arial" w:cs="Arial"/>
        </w:rPr>
      </w:pPr>
    </w:p>
    <w:p w14:paraId="6F798D03" w14:textId="77777777" w:rsidR="00076856" w:rsidRDefault="00076856" w:rsidP="00756C58">
      <w:pPr>
        <w:spacing w:line="360" w:lineRule="auto"/>
        <w:jc w:val="center"/>
        <w:rPr>
          <w:rFonts w:ascii="Arial" w:eastAsia="Arial" w:hAnsi="Arial" w:cs="Arial"/>
        </w:rPr>
      </w:pPr>
    </w:p>
    <w:p w14:paraId="2523978A" w14:textId="77777777" w:rsidR="00076856" w:rsidRDefault="00076856" w:rsidP="00756C58">
      <w:pPr>
        <w:spacing w:line="360" w:lineRule="auto"/>
        <w:jc w:val="center"/>
        <w:rPr>
          <w:rFonts w:ascii="Arial" w:eastAsia="Arial" w:hAnsi="Arial" w:cs="Arial"/>
        </w:rPr>
      </w:pPr>
    </w:p>
    <w:p w14:paraId="61794EE4" w14:textId="77777777" w:rsidR="00076856" w:rsidRDefault="00076856" w:rsidP="00756C58">
      <w:pPr>
        <w:spacing w:line="360" w:lineRule="auto"/>
        <w:jc w:val="center"/>
        <w:rPr>
          <w:rFonts w:ascii="Arial" w:eastAsia="Arial" w:hAnsi="Arial" w:cs="Arial"/>
        </w:rPr>
      </w:pPr>
    </w:p>
    <w:p w14:paraId="05D45ECB" w14:textId="77777777" w:rsidR="00076856" w:rsidRDefault="00076856" w:rsidP="00756C58">
      <w:pPr>
        <w:spacing w:line="360" w:lineRule="auto"/>
        <w:jc w:val="center"/>
        <w:rPr>
          <w:rFonts w:ascii="Arial" w:eastAsia="Arial" w:hAnsi="Arial" w:cs="Arial"/>
        </w:rPr>
      </w:pPr>
    </w:p>
    <w:p w14:paraId="3F453CAE" w14:textId="77777777" w:rsidR="00076856" w:rsidRDefault="00076856" w:rsidP="00756C58">
      <w:pPr>
        <w:spacing w:line="360" w:lineRule="auto"/>
        <w:jc w:val="center"/>
        <w:rPr>
          <w:rFonts w:ascii="Arial" w:eastAsia="Arial" w:hAnsi="Arial" w:cs="Arial"/>
        </w:rPr>
      </w:pPr>
    </w:p>
    <w:p w14:paraId="5E35BC1F" w14:textId="77777777" w:rsidR="00076856" w:rsidRDefault="00076856" w:rsidP="00756C58">
      <w:pPr>
        <w:spacing w:line="360" w:lineRule="auto"/>
        <w:jc w:val="center"/>
        <w:rPr>
          <w:rFonts w:ascii="Arial" w:eastAsia="Arial" w:hAnsi="Arial" w:cs="Arial"/>
        </w:rPr>
      </w:pPr>
    </w:p>
    <w:p w14:paraId="4E7ED417" w14:textId="77777777" w:rsidR="00076856" w:rsidRDefault="00076856" w:rsidP="00756C58">
      <w:pPr>
        <w:spacing w:line="360" w:lineRule="auto"/>
        <w:jc w:val="center"/>
        <w:rPr>
          <w:rFonts w:ascii="Arial" w:eastAsia="Arial" w:hAnsi="Arial" w:cs="Arial"/>
        </w:rPr>
      </w:pPr>
    </w:p>
    <w:p w14:paraId="729B6698" w14:textId="77777777" w:rsidR="00756C58" w:rsidRDefault="00756C58" w:rsidP="00756C58">
      <w:pPr>
        <w:spacing w:line="360" w:lineRule="auto"/>
        <w:rPr>
          <w:rFonts w:ascii="Arial" w:eastAsia="Arial" w:hAnsi="Arial" w:cs="Arial"/>
        </w:rPr>
      </w:pPr>
    </w:p>
    <w:p w14:paraId="4EBBD92B" w14:textId="77777777" w:rsidR="001F4832" w:rsidRDefault="001F4832" w:rsidP="00756C58">
      <w:pPr>
        <w:spacing w:line="360" w:lineRule="auto"/>
        <w:rPr>
          <w:rFonts w:ascii="Arial" w:eastAsia="Arial" w:hAnsi="Arial" w:cs="Arial"/>
          <w:b/>
          <w:color w:val="000000"/>
        </w:rPr>
      </w:pPr>
      <w:r>
        <w:rPr>
          <w:rFonts w:ascii="Arial" w:eastAsia="Arial" w:hAnsi="Arial" w:cs="Arial"/>
          <w:b/>
          <w:color w:val="000000"/>
        </w:rPr>
        <w:br w:type="page"/>
      </w:r>
    </w:p>
    <w:p w14:paraId="17871B85" w14:textId="77777777" w:rsidR="00076856" w:rsidRPr="00DE4299" w:rsidRDefault="00DE4299" w:rsidP="00756C58">
      <w:pPr>
        <w:spacing w:line="360" w:lineRule="auto"/>
        <w:rPr>
          <w:rFonts w:ascii="Times New Roman" w:eastAsia="Times New Roman" w:hAnsi="Times New Roman" w:cs="Times New Roman"/>
          <w:sz w:val="24"/>
          <w:szCs w:val="24"/>
        </w:rPr>
      </w:pPr>
      <w:r>
        <w:rPr>
          <w:rFonts w:ascii="Arial" w:eastAsia="Arial" w:hAnsi="Arial" w:cs="Arial"/>
          <w:b/>
          <w:color w:val="000000"/>
        </w:rPr>
        <w:lastRenderedPageBreak/>
        <w:t>SADRŽAJ RADA:</w:t>
      </w:r>
    </w:p>
    <w:bookmarkStart w:id="0" w:name="_heading=h.ka33dv6o6ads" w:colFirst="0" w:colLast="0" w:displacedByCustomXml="next"/>
    <w:bookmarkEnd w:id="0" w:displacedByCustomXml="next"/>
    <w:sdt>
      <w:sdtPr>
        <w:rPr>
          <w:rFonts w:ascii="Calibri" w:eastAsia="Calibri" w:hAnsi="Calibri" w:cs="Calibri"/>
          <w:color w:val="auto"/>
          <w:sz w:val="22"/>
          <w:szCs w:val="22"/>
          <w:lang w:val="hr-HR" w:eastAsia="hr-HR"/>
        </w:rPr>
        <w:id w:val="164522217"/>
        <w:docPartObj>
          <w:docPartGallery w:val="Table of Contents"/>
          <w:docPartUnique/>
        </w:docPartObj>
      </w:sdtPr>
      <w:sdtEndPr>
        <w:rPr>
          <w:b/>
          <w:bCs/>
          <w:noProof/>
        </w:rPr>
      </w:sdtEndPr>
      <w:sdtContent>
        <w:p w14:paraId="35376913" w14:textId="77777777" w:rsidR="00DE4299" w:rsidRDefault="00DE4299" w:rsidP="00756C58">
          <w:pPr>
            <w:pStyle w:val="TOCHeading"/>
            <w:spacing w:line="360" w:lineRule="auto"/>
          </w:pPr>
        </w:p>
        <w:p w14:paraId="0E534EBB" w14:textId="744AE5FE" w:rsidR="00BF547B" w:rsidRPr="00BF547B" w:rsidRDefault="00DE4299">
          <w:pPr>
            <w:pStyle w:val="TOC1"/>
            <w:tabs>
              <w:tab w:val="right" w:leader="dot" w:pos="9350"/>
            </w:tabs>
            <w:rPr>
              <w:rFonts w:asciiTheme="minorHAnsi" w:eastAsiaTheme="minorEastAsia" w:hAnsiTheme="minorHAnsi" w:cstheme="minorBidi"/>
              <w:b/>
              <w:noProof/>
            </w:rPr>
          </w:pPr>
          <w:r w:rsidRPr="00DE4299">
            <w:rPr>
              <w:b/>
            </w:rPr>
            <w:fldChar w:fldCharType="begin"/>
          </w:r>
          <w:r w:rsidRPr="00DE4299">
            <w:rPr>
              <w:b/>
            </w:rPr>
            <w:instrText xml:space="preserve"> TOC \o "1-3" \h \z \u </w:instrText>
          </w:r>
          <w:r w:rsidRPr="00DE4299">
            <w:rPr>
              <w:b/>
            </w:rPr>
            <w:fldChar w:fldCharType="separate"/>
          </w:r>
          <w:hyperlink w:anchor="_Toc75635793" w:history="1">
            <w:r w:rsidR="00BF547B" w:rsidRPr="00BF547B">
              <w:rPr>
                <w:rStyle w:val="Hyperlink"/>
                <w:rFonts w:ascii="Arial" w:hAnsi="Arial" w:cs="Arial"/>
                <w:b/>
                <w:noProof/>
              </w:rPr>
              <w:t>1. UVOD</w:t>
            </w:r>
            <w:r w:rsidR="00BF547B" w:rsidRPr="00BF547B">
              <w:rPr>
                <w:b/>
                <w:noProof/>
                <w:webHidden/>
              </w:rPr>
              <w:tab/>
            </w:r>
            <w:r w:rsidR="00BF547B" w:rsidRPr="00BF547B">
              <w:rPr>
                <w:b/>
                <w:noProof/>
                <w:webHidden/>
              </w:rPr>
              <w:fldChar w:fldCharType="begin"/>
            </w:r>
            <w:r w:rsidR="00BF547B" w:rsidRPr="00BF547B">
              <w:rPr>
                <w:b/>
                <w:noProof/>
                <w:webHidden/>
              </w:rPr>
              <w:instrText xml:space="preserve"> PAGEREF _Toc75635793 \h </w:instrText>
            </w:r>
            <w:r w:rsidR="00BF547B" w:rsidRPr="00BF547B">
              <w:rPr>
                <w:b/>
                <w:noProof/>
                <w:webHidden/>
              </w:rPr>
            </w:r>
            <w:r w:rsidR="00BF547B" w:rsidRPr="00BF547B">
              <w:rPr>
                <w:b/>
                <w:noProof/>
                <w:webHidden/>
              </w:rPr>
              <w:fldChar w:fldCharType="separate"/>
            </w:r>
            <w:r w:rsidR="00BF547B" w:rsidRPr="00BF547B">
              <w:rPr>
                <w:b/>
                <w:noProof/>
                <w:webHidden/>
              </w:rPr>
              <w:t>1</w:t>
            </w:r>
            <w:r w:rsidR="00BF547B" w:rsidRPr="00BF547B">
              <w:rPr>
                <w:b/>
                <w:noProof/>
                <w:webHidden/>
              </w:rPr>
              <w:fldChar w:fldCharType="end"/>
            </w:r>
          </w:hyperlink>
        </w:p>
        <w:p w14:paraId="2D001E06" w14:textId="5452223E" w:rsidR="00BF547B" w:rsidRPr="00BF547B" w:rsidRDefault="00D9762F">
          <w:pPr>
            <w:pStyle w:val="TOC1"/>
            <w:tabs>
              <w:tab w:val="right" w:leader="dot" w:pos="9350"/>
            </w:tabs>
            <w:rPr>
              <w:rFonts w:asciiTheme="minorHAnsi" w:eastAsiaTheme="minorEastAsia" w:hAnsiTheme="minorHAnsi" w:cstheme="minorBidi"/>
              <w:b/>
              <w:noProof/>
            </w:rPr>
          </w:pPr>
          <w:hyperlink w:anchor="_Toc75635794" w:history="1">
            <w:r w:rsidR="00BF547B" w:rsidRPr="00BF547B">
              <w:rPr>
                <w:rStyle w:val="Hyperlink"/>
                <w:rFonts w:ascii="Arial" w:hAnsi="Arial" w:cs="Arial"/>
                <w:b/>
                <w:noProof/>
              </w:rPr>
              <w:t>2. HIPOTEZA</w:t>
            </w:r>
            <w:r w:rsidR="00BF547B" w:rsidRPr="00BF547B">
              <w:rPr>
                <w:b/>
                <w:noProof/>
                <w:webHidden/>
              </w:rPr>
              <w:tab/>
            </w:r>
            <w:r w:rsidR="00BF547B" w:rsidRPr="00BF547B">
              <w:rPr>
                <w:b/>
                <w:noProof/>
                <w:webHidden/>
              </w:rPr>
              <w:fldChar w:fldCharType="begin"/>
            </w:r>
            <w:r w:rsidR="00BF547B" w:rsidRPr="00BF547B">
              <w:rPr>
                <w:b/>
                <w:noProof/>
                <w:webHidden/>
              </w:rPr>
              <w:instrText xml:space="preserve"> PAGEREF _Toc75635794 \h </w:instrText>
            </w:r>
            <w:r w:rsidR="00BF547B" w:rsidRPr="00BF547B">
              <w:rPr>
                <w:b/>
                <w:noProof/>
                <w:webHidden/>
              </w:rPr>
            </w:r>
            <w:r w:rsidR="00BF547B" w:rsidRPr="00BF547B">
              <w:rPr>
                <w:b/>
                <w:noProof/>
                <w:webHidden/>
              </w:rPr>
              <w:fldChar w:fldCharType="separate"/>
            </w:r>
            <w:r w:rsidR="00BF547B" w:rsidRPr="00BF547B">
              <w:rPr>
                <w:b/>
                <w:noProof/>
                <w:webHidden/>
              </w:rPr>
              <w:t>4</w:t>
            </w:r>
            <w:r w:rsidR="00BF547B" w:rsidRPr="00BF547B">
              <w:rPr>
                <w:b/>
                <w:noProof/>
                <w:webHidden/>
              </w:rPr>
              <w:fldChar w:fldCharType="end"/>
            </w:r>
          </w:hyperlink>
        </w:p>
        <w:p w14:paraId="788C8798" w14:textId="7F6D1169" w:rsidR="00BF547B" w:rsidRPr="00BF547B" w:rsidRDefault="00D9762F">
          <w:pPr>
            <w:pStyle w:val="TOC1"/>
            <w:tabs>
              <w:tab w:val="right" w:leader="dot" w:pos="9350"/>
            </w:tabs>
            <w:rPr>
              <w:rFonts w:asciiTheme="minorHAnsi" w:eastAsiaTheme="minorEastAsia" w:hAnsiTheme="minorHAnsi" w:cstheme="minorBidi"/>
              <w:b/>
              <w:noProof/>
            </w:rPr>
          </w:pPr>
          <w:hyperlink w:anchor="_Toc75635795" w:history="1">
            <w:r w:rsidR="00BF547B" w:rsidRPr="00BF547B">
              <w:rPr>
                <w:rStyle w:val="Hyperlink"/>
                <w:rFonts w:ascii="Arial" w:hAnsi="Arial" w:cs="Arial"/>
                <w:b/>
                <w:noProof/>
              </w:rPr>
              <w:t>3. OPĆI I SPECIFIČNI CILJEVI RADA</w:t>
            </w:r>
            <w:r w:rsidR="00BF547B" w:rsidRPr="00BF547B">
              <w:rPr>
                <w:b/>
                <w:noProof/>
                <w:webHidden/>
              </w:rPr>
              <w:tab/>
            </w:r>
            <w:r w:rsidR="00BF547B" w:rsidRPr="00BF547B">
              <w:rPr>
                <w:b/>
                <w:noProof/>
                <w:webHidden/>
              </w:rPr>
              <w:fldChar w:fldCharType="begin"/>
            </w:r>
            <w:r w:rsidR="00BF547B" w:rsidRPr="00BF547B">
              <w:rPr>
                <w:b/>
                <w:noProof/>
                <w:webHidden/>
              </w:rPr>
              <w:instrText xml:space="preserve"> PAGEREF _Toc75635795 \h </w:instrText>
            </w:r>
            <w:r w:rsidR="00BF547B" w:rsidRPr="00BF547B">
              <w:rPr>
                <w:b/>
                <w:noProof/>
                <w:webHidden/>
              </w:rPr>
            </w:r>
            <w:r w:rsidR="00BF547B" w:rsidRPr="00BF547B">
              <w:rPr>
                <w:b/>
                <w:noProof/>
                <w:webHidden/>
              </w:rPr>
              <w:fldChar w:fldCharType="separate"/>
            </w:r>
            <w:r w:rsidR="00BF547B" w:rsidRPr="00BF547B">
              <w:rPr>
                <w:b/>
                <w:noProof/>
                <w:webHidden/>
              </w:rPr>
              <w:t>4</w:t>
            </w:r>
            <w:r w:rsidR="00BF547B" w:rsidRPr="00BF547B">
              <w:rPr>
                <w:b/>
                <w:noProof/>
                <w:webHidden/>
              </w:rPr>
              <w:fldChar w:fldCharType="end"/>
            </w:r>
          </w:hyperlink>
        </w:p>
        <w:p w14:paraId="423AD3FF" w14:textId="503E96D0" w:rsidR="00BF547B" w:rsidRPr="00BF547B" w:rsidRDefault="00D9762F">
          <w:pPr>
            <w:pStyle w:val="TOC1"/>
            <w:tabs>
              <w:tab w:val="right" w:leader="dot" w:pos="9350"/>
            </w:tabs>
            <w:rPr>
              <w:rFonts w:asciiTheme="minorHAnsi" w:eastAsiaTheme="minorEastAsia" w:hAnsiTheme="minorHAnsi" w:cstheme="minorBidi"/>
              <w:b/>
              <w:noProof/>
            </w:rPr>
          </w:pPr>
          <w:hyperlink w:anchor="_Toc75635796" w:history="1">
            <w:r w:rsidR="00BF547B" w:rsidRPr="00BF547B">
              <w:rPr>
                <w:rStyle w:val="Hyperlink"/>
                <w:rFonts w:ascii="Arial" w:hAnsi="Arial" w:cs="Arial"/>
                <w:b/>
                <w:noProof/>
              </w:rPr>
              <w:t>4. ISPITANICI I METODE</w:t>
            </w:r>
            <w:r w:rsidR="00BF547B" w:rsidRPr="00BF547B">
              <w:rPr>
                <w:b/>
                <w:noProof/>
                <w:webHidden/>
              </w:rPr>
              <w:tab/>
            </w:r>
            <w:r w:rsidR="00BF547B" w:rsidRPr="00BF547B">
              <w:rPr>
                <w:b/>
                <w:noProof/>
                <w:webHidden/>
              </w:rPr>
              <w:fldChar w:fldCharType="begin"/>
            </w:r>
            <w:r w:rsidR="00BF547B" w:rsidRPr="00BF547B">
              <w:rPr>
                <w:b/>
                <w:noProof/>
                <w:webHidden/>
              </w:rPr>
              <w:instrText xml:space="preserve"> PAGEREF _Toc75635796 \h </w:instrText>
            </w:r>
            <w:r w:rsidR="00BF547B" w:rsidRPr="00BF547B">
              <w:rPr>
                <w:b/>
                <w:noProof/>
                <w:webHidden/>
              </w:rPr>
            </w:r>
            <w:r w:rsidR="00BF547B" w:rsidRPr="00BF547B">
              <w:rPr>
                <w:b/>
                <w:noProof/>
                <w:webHidden/>
              </w:rPr>
              <w:fldChar w:fldCharType="separate"/>
            </w:r>
            <w:r w:rsidR="00BF547B" w:rsidRPr="00BF547B">
              <w:rPr>
                <w:b/>
                <w:noProof/>
                <w:webHidden/>
              </w:rPr>
              <w:t>4</w:t>
            </w:r>
            <w:r w:rsidR="00BF547B" w:rsidRPr="00BF547B">
              <w:rPr>
                <w:b/>
                <w:noProof/>
                <w:webHidden/>
              </w:rPr>
              <w:fldChar w:fldCharType="end"/>
            </w:r>
          </w:hyperlink>
        </w:p>
        <w:p w14:paraId="65E3A830" w14:textId="625099D9" w:rsidR="00BF547B" w:rsidRPr="00BF547B" w:rsidRDefault="00D9762F">
          <w:pPr>
            <w:pStyle w:val="TOC2"/>
            <w:tabs>
              <w:tab w:val="left" w:pos="880"/>
              <w:tab w:val="right" w:leader="dot" w:pos="9350"/>
            </w:tabs>
            <w:rPr>
              <w:rFonts w:asciiTheme="minorHAnsi" w:eastAsiaTheme="minorEastAsia" w:hAnsiTheme="minorHAnsi" w:cstheme="minorBidi"/>
              <w:b/>
              <w:noProof/>
            </w:rPr>
          </w:pPr>
          <w:hyperlink w:anchor="_Toc75635797" w:history="1">
            <w:r w:rsidR="00BF547B" w:rsidRPr="00BF547B">
              <w:rPr>
                <w:rStyle w:val="Hyperlink"/>
                <w:rFonts w:ascii="Arial" w:hAnsi="Arial" w:cs="Arial"/>
                <w:b/>
                <w:noProof/>
              </w:rPr>
              <w:t xml:space="preserve">4.1. </w:t>
            </w:r>
            <w:r w:rsidR="00BF547B" w:rsidRPr="00BF547B">
              <w:rPr>
                <w:rFonts w:asciiTheme="minorHAnsi" w:eastAsiaTheme="minorEastAsia" w:hAnsiTheme="minorHAnsi" w:cstheme="minorBidi"/>
                <w:b/>
                <w:noProof/>
              </w:rPr>
              <w:tab/>
            </w:r>
            <w:r w:rsidR="00BF547B" w:rsidRPr="00BF547B">
              <w:rPr>
                <w:rStyle w:val="Hyperlink"/>
                <w:rFonts w:ascii="Arial" w:hAnsi="Arial" w:cs="Arial"/>
                <w:b/>
                <w:noProof/>
              </w:rPr>
              <w:t>Fagerströmov test ovisnosti o nikotinu</w:t>
            </w:r>
            <w:r w:rsidR="00BF547B" w:rsidRPr="00BF547B">
              <w:rPr>
                <w:b/>
                <w:noProof/>
                <w:webHidden/>
              </w:rPr>
              <w:tab/>
            </w:r>
            <w:r w:rsidR="00BF547B" w:rsidRPr="00BF547B">
              <w:rPr>
                <w:b/>
                <w:noProof/>
                <w:webHidden/>
              </w:rPr>
              <w:fldChar w:fldCharType="begin"/>
            </w:r>
            <w:r w:rsidR="00BF547B" w:rsidRPr="00BF547B">
              <w:rPr>
                <w:b/>
                <w:noProof/>
                <w:webHidden/>
              </w:rPr>
              <w:instrText xml:space="preserve"> PAGEREF _Toc75635797 \h </w:instrText>
            </w:r>
            <w:r w:rsidR="00BF547B" w:rsidRPr="00BF547B">
              <w:rPr>
                <w:b/>
                <w:noProof/>
                <w:webHidden/>
              </w:rPr>
            </w:r>
            <w:r w:rsidR="00BF547B" w:rsidRPr="00BF547B">
              <w:rPr>
                <w:b/>
                <w:noProof/>
                <w:webHidden/>
              </w:rPr>
              <w:fldChar w:fldCharType="separate"/>
            </w:r>
            <w:r w:rsidR="00BF547B" w:rsidRPr="00BF547B">
              <w:rPr>
                <w:b/>
                <w:noProof/>
                <w:webHidden/>
              </w:rPr>
              <w:t>6</w:t>
            </w:r>
            <w:r w:rsidR="00BF547B" w:rsidRPr="00BF547B">
              <w:rPr>
                <w:b/>
                <w:noProof/>
                <w:webHidden/>
              </w:rPr>
              <w:fldChar w:fldCharType="end"/>
            </w:r>
          </w:hyperlink>
        </w:p>
        <w:p w14:paraId="69B82F5F" w14:textId="6B8CCC19" w:rsidR="00BF547B" w:rsidRPr="00BF547B" w:rsidRDefault="00D9762F">
          <w:pPr>
            <w:pStyle w:val="TOC2"/>
            <w:tabs>
              <w:tab w:val="left" w:pos="880"/>
              <w:tab w:val="right" w:leader="dot" w:pos="9350"/>
            </w:tabs>
            <w:rPr>
              <w:rFonts w:asciiTheme="minorHAnsi" w:eastAsiaTheme="minorEastAsia" w:hAnsiTheme="minorHAnsi" w:cstheme="minorBidi"/>
              <w:b/>
              <w:noProof/>
            </w:rPr>
          </w:pPr>
          <w:hyperlink w:anchor="_Toc75635798" w:history="1">
            <w:r w:rsidR="00BF547B" w:rsidRPr="00BF547B">
              <w:rPr>
                <w:rStyle w:val="Hyperlink"/>
                <w:rFonts w:ascii="Arial" w:hAnsi="Arial" w:cs="Arial"/>
                <w:b/>
                <w:noProof/>
              </w:rPr>
              <w:t xml:space="preserve">4.2. </w:t>
            </w:r>
            <w:r w:rsidR="00BF547B" w:rsidRPr="00BF547B">
              <w:rPr>
                <w:rFonts w:asciiTheme="minorHAnsi" w:eastAsiaTheme="minorEastAsia" w:hAnsiTheme="minorHAnsi" w:cstheme="minorBidi"/>
                <w:b/>
                <w:noProof/>
              </w:rPr>
              <w:tab/>
            </w:r>
            <w:r w:rsidR="00BF547B" w:rsidRPr="00BF547B">
              <w:rPr>
                <w:rStyle w:val="Hyperlink"/>
                <w:rFonts w:ascii="Arial" w:hAnsi="Arial" w:cs="Arial"/>
                <w:b/>
                <w:noProof/>
              </w:rPr>
              <w:t>Metodologija statističke obrade</w:t>
            </w:r>
            <w:r w:rsidR="00BF547B" w:rsidRPr="00BF547B">
              <w:rPr>
                <w:b/>
                <w:noProof/>
                <w:webHidden/>
              </w:rPr>
              <w:tab/>
            </w:r>
            <w:r w:rsidR="00BF547B" w:rsidRPr="00BF547B">
              <w:rPr>
                <w:b/>
                <w:noProof/>
                <w:webHidden/>
              </w:rPr>
              <w:fldChar w:fldCharType="begin"/>
            </w:r>
            <w:r w:rsidR="00BF547B" w:rsidRPr="00BF547B">
              <w:rPr>
                <w:b/>
                <w:noProof/>
                <w:webHidden/>
              </w:rPr>
              <w:instrText xml:space="preserve"> PAGEREF _Toc75635798 \h </w:instrText>
            </w:r>
            <w:r w:rsidR="00BF547B" w:rsidRPr="00BF547B">
              <w:rPr>
                <w:b/>
                <w:noProof/>
                <w:webHidden/>
              </w:rPr>
            </w:r>
            <w:r w:rsidR="00BF547B" w:rsidRPr="00BF547B">
              <w:rPr>
                <w:b/>
                <w:noProof/>
                <w:webHidden/>
              </w:rPr>
              <w:fldChar w:fldCharType="separate"/>
            </w:r>
            <w:r w:rsidR="00BF547B" w:rsidRPr="00BF547B">
              <w:rPr>
                <w:b/>
                <w:noProof/>
                <w:webHidden/>
              </w:rPr>
              <w:t>8</w:t>
            </w:r>
            <w:r w:rsidR="00BF547B" w:rsidRPr="00BF547B">
              <w:rPr>
                <w:b/>
                <w:noProof/>
                <w:webHidden/>
              </w:rPr>
              <w:fldChar w:fldCharType="end"/>
            </w:r>
          </w:hyperlink>
        </w:p>
        <w:p w14:paraId="59FE4BF7" w14:textId="5063D9B4" w:rsidR="00BF547B" w:rsidRPr="00BF547B" w:rsidRDefault="00D9762F">
          <w:pPr>
            <w:pStyle w:val="TOC1"/>
            <w:tabs>
              <w:tab w:val="right" w:leader="dot" w:pos="9350"/>
            </w:tabs>
            <w:rPr>
              <w:rFonts w:asciiTheme="minorHAnsi" w:eastAsiaTheme="minorEastAsia" w:hAnsiTheme="minorHAnsi" w:cstheme="minorBidi"/>
              <w:b/>
              <w:noProof/>
            </w:rPr>
          </w:pPr>
          <w:hyperlink w:anchor="_Toc75635799" w:history="1">
            <w:r w:rsidR="00BF547B" w:rsidRPr="00BF547B">
              <w:rPr>
                <w:rStyle w:val="Hyperlink"/>
                <w:rFonts w:ascii="Arial" w:eastAsia="Arial" w:hAnsi="Arial" w:cs="Arial"/>
                <w:b/>
                <w:noProof/>
              </w:rPr>
              <w:t>5. REZULTATI</w:t>
            </w:r>
            <w:r w:rsidR="00BF547B" w:rsidRPr="00BF547B">
              <w:rPr>
                <w:b/>
                <w:noProof/>
                <w:webHidden/>
              </w:rPr>
              <w:tab/>
            </w:r>
            <w:r w:rsidR="00BF547B" w:rsidRPr="00BF547B">
              <w:rPr>
                <w:b/>
                <w:noProof/>
                <w:webHidden/>
              </w:rPr>
              <w:fldChar w:fldCharType="begin"/>
            </w:r>
            <w:r w:rsidR="00BF547B" w:rsidRPr="00BF547B">
              <w:rPr>
                <w:b/>
                <w:noProof/>
                <w:webHidden/>
              </w:rPr>
              <w:instrText xml:space="preserve"> PAGEREF _Toc75635799 \h </w:instrText>
            </w:r>
            <w:r w:rsidR="00BF547B" w:rsidRPr="00BF547B">
              <w:rPr>
                <w:b/>
                <w:noProof/>
                <w:webHidden/>
              </w:rPr>
            </w:r>
            <w:r w:rsidR="00BF547B" w:rsidRPr="00BF547B">
              <w:rPr>
                <w:b/>
                <w:noProof/>
                <w:webHidden/>
              </w:rPr>
              <w:fldChar w:fldCharType="separate"/>
            </w:r>
            <w:r w:rsidR="00BF547B" w:rsidRPr="00BF547B">
              <w:rPr>
                <w:b/>
                <w:noProof/>
                <w:webHidden/>
              </w:rPr>
              <w:t>9</w:t>
            </w:r>
            <w:r w:rsidR="00BF547B" w:rsidRPr="00BF547B">
              <w:rPr>
                <w:b/>
                <w:noProof/>
                <w:webHidden/>
              </w:rPr>
              <w:fldChar w:fldCharType="end"/>
            </w:r>
          </w:hyperlink>
        </w:p>
        <w:p w14:paraId="0BB5379F" w14:textId="106D2251" w:rsidR="00BF547B" w:rsidRPr="00BF547B" w:rsidRDefault="00D9762F">
          <w:pPr>
            <w:pStyle w:val="TOC2"/>
            <w:tabs>
              <w:tab w:val="left" w:pos="880"/>
              <w:tab w:val="right" w:leader="dot" w:pos="9350"/>
            </w:tabs>
            <w:rPr>
              <w:rFonts w:asciiTheme="minorHAnsi" w:eastAsiaTheme="minorEastAsia" w:hAnsiTheme="minorHAnsi" w:cstheme="minorBidi"/>
              <w:b/>
              <w:noProof/>
            </w:rPr>
          </w:pPr>
          <w:hyperlink w:anchor="_Toc75635800" w:history="1">
            <w:r w:rsidR="00BF547B" w:rsidRPr="00BF547B">
              <w:rPr>
                <w:rStyle w:val="Hyperlink"/>
                <w:rFonts w:ascii="Arial" w:eastAsia="Arial" w:hAnsi="Arial" w:cs="Arial"/>
                <w:b/>
                <w:noProof/>
              </w:rPr>
              <w:t>5.1.</w:t>
            </w:r>
            <w:r w:rsidR="00BF547B" w:rsidRPr="00BF547B">
              <w:rPr>
                <w:rFonts w:asciiTheme="minorHAnsi" w:eastAsiaTheme="minorEastAsia" w:hAnsiTheme="minorHAnsi" w:cstheme="minorBidi"/>
                <w:b/>
                <w:noProof/>
              </w:rPr>
              <w:tab/>
            </w:r>
            <w:r w:rsidR="00BF547B" w:rsidRPr="00BF547B">
              <w:rPr>
                <w:rStyle w:val="Hyperlink"/>
                <w:rFonts w:ascii="Arial" w:eastAsia="Arial" w:hAnsi="Arial" w:cs="Arial"/>
                <w:b/>
                <w:noProof/>
              </w:rPr>
              <w:t>Podjela ispitanika po spolu i fakultetu</w:t>
            </w:r>
            <w:r w:rsidR="00BF547B" w:rsidRPr="00BF547B">
              <w:rPr>
                <w:b/>
                <w:noProof/>
                <w:webHidden/>
              </w:rPr>
              <w:tab/>
            </w:r>
            <w:r w:rsidR="00BF547B" w:rsidRPr="00BF547B">
              <w:rPr>
                <w:b/>
                <w:noProof/>
                <w:webHidden/>
              </w:rPr>
              <w:fldChar w:fldCharType="begin"/>
            </w:r>
            <w:r w:rsidR="00BF547B" w:rsidRPr="00BF547B">
              <w:rPr>
                <w:b/>
                <w:noProof/>
                <w:webHidden/>
              </w:rPr>
              <w:instrText xml:space="preserve"> PAGEREF _Toc75635800 \h </w:instrText>
            </w:r>
            <w:r w:rsidR="00BF547B" w:rsidRPr="00BF547B">
              <w:rPr>
                <w:b/>
                <w:noProof/>
                <w:webHidden/>
              </w:rPr>
            </w:r>
            <w:r w:rsidR="00BF547B" w:rsidRPr="00BF547B">
              <w:rPr>
                <w:b/>
                <w:noProof/>
                <w:webHidden/>
              </w:rPr>
              <w:fldChar w:fldCharType="separate"/>
            </w:r>
            <w:r w:rsidR="00BF547B" w:rsidRPr="00BF547B">
              <w:rPr>
                <w:b/>
                <w:noProof/>
                <w:webHidden/>
              </w:rPr>
              <w:t>9</w:t>
            </w:r>
            <w:r w:rsidR="00BF547B" w:rsidRPr="00BF547B">
              <w:rPr>
                <w:b/>
                <w:noProof/>
                <w:webHidden/>
              </w:rPr>
              <w:fldChar w:fldCharType="end"/>
            </w:r>
          </w:hyperlink>
        </w:p>
        <w:p w14:paraId="42239006" w14:textId="149D0259" w:rsidR="00BF547B" w:rsidRPr="00BF547B" w:rsidRDefault="00D9762F">
          <w:pPr>
            <w:pStyle w:val="TOC2"/>
            <w:tabs>
              <w:tab w:val="left" w:pos="880"/>
              <w:tab w:val="right" w:leader="dot" w:pos="9350"/>
            </w:tabs>
            <w:rPr>
              <w:rFonts w:asciiTheme="minorHAnsi" w:eastAsiaTheme="minorEastAsia" w:hAnsiTheme="minorHAnsi" w:cstheme="minorBidi"/>
              <w:b/>
              <w:noProof/>
            </w:rPr>
          </w:pPr>
          <w:hyperlink w:anchor="_Toc75635801" w:history="1">
            <w:r w:rsidR="00BF547B" w:rsidRPr="00BF547B">
              <w:rPr>
                <w:rStyle w:val="Hyperlink"/>
                <w:rFonts w:ascii="Arial" w:eastAsia="Arial" w:hAnsi="Arial" w:cs="Arial"/>
                <w:b/>
                <w:noProof/>
              </w:rPr>
              <w:t xml:space="preserve">5.2. </w:t>
            </w:r>
            <w:r w:rsidR="00BF547B" w:rsidRPr="00BF547B">
              <w:rPr>
                <w:rFonts w:asciiTheme="minorHAnsi" w:eastAsiaTheme="minorEastAsia" w:hAnsiTheme="minorHAnsi" w:cstheme="minorBidi"/>
                <w:b/>
                <w:noProof/>
              </w:rPr>
              <w:tab/>
            </w:r>
            <w:r w:rsidR="00BF547B" w:rsidRPr="00BF547B">
              <w:rPr>
                <w:rStyle w:val="Hyperlink"/>
                <w:rFonts w:ascii="Arial" w:eastAsia="Arial" w:hAnsi="Arial" w:cs="Arial"/>
                <w:b/>
                <w:noProof/>
              </w:rPr>
              <w:t>Rezultati na Fagerströmovoj skali za cijeli uzorak i statistički značajne razlike</w:t>
            </w:r>
            <w:r w:rsidR="00BF547B" w:rsidRPr="00BF547B">
              <w:rPr>
                <w:b/>
                <w:noProof/>
                <w:webHidden/>
              </w:rPr>
              <w:tab/>
            </w:r>
            <w:r w:rsidR="00BF547B" w:rsidRPr="00BF547B">
              <w:rPr>
                <w:b/>
                <w:noProof/>
                <w:webHidden/>
              </w:rPr>
              <w:fldChar w:fldCharType="begin"/>
            </w:r>
            <w:r w:rsidR="00BF547B" w:rsidRPr="00BF547B">
              <w:rPr>
                <w:b/>
                <w:noProof/>
                <w:webHidden/>
              </w:rPr>
              <w:instrText xml:space="preserve"> PAGEREF _Toc75635801 \h </w:instrText>
            </w:r>
            <w:r w:rsidR="00BF547B" w:rsidRPr="00BF547B">
              <w:rPr>
                <w:b/>
                <w:noProof/>
                <w:webHidden/>
              </w:rPr>
            </w:r>
            <w:r w:rsidR="00BF547B" w:rsidRPr="00BF547B">
              <w:rPr>
                <w:b/>
                <w:noProof/>
                <w:webHidden/>
              </w:rPr>
              <w:fldChar w:fldCharType="separate"/>
            </w:r>
            <w:r w:rsidR="00BF547B" w:rsidRPr="00BF547B">
              <w:rPr>
                <w:b/>
                <w:noProof/>
                <w:webHidden/>
              </w:rPr>
              <w:t>11</w:t>
            </w:r>
            <w:r w:rsidR="00BF547B" w:rsidRPr="00BF547B">
              <w:rPr>
                <w:b/>
                <w:noProof/>
                <w:webHidden/>
              </w:rPr>
              <w:fldChar w:fldCharType="end"/>
            </w:r>
          </w:hyperlink>
        </w:p>
        <w:p w14:paraId="69591809" w14:textId="1F04AE29" w:rsidR="00BF547B" w:rsidRPr="00BF547B" w:rsidRDefault="00D9762F">
          <w:pPr>
            <w:pStyle w:val="TOC2"/>
            <w:tabs>
              <w:tab w:val="left" w:pos="880"/>
              <w:tab w:val="right" w:leader="dot" w:pos="9350"/>
            </w:tabs>
            <w:rPr>
              <w:rFonts w:asciiTheme="minorHAnsi" w:eastAsiaTheme="minorEastAsia" w:hAnsiTheme="minorHAnsi" w:cstheme="minorBidi"/>
              <w:b/>
              <w:noProof/>
            </w:rPr>
          </w:pPr>
          <w:hyperlink w:anchor="_Toc75635802" w:history="1">
            <w:r w:rsidR="00BF547B" w:rsidRPr="00BF547B">
              <w:rPr>
                <w:rStyle w:val="Hyperlink"/>
                <w:rFonts w:ascii="Arial" w:eastAsia="Arial" w:hAnsi="Arial" w:cs="Arial"/>
                <w:b/>
                <w:noProof/>
              </w:rPr>
              <w:t>5.3.</w:t>
            </w:r>
            <w:r w:rsidR="00BF547B" w:rsidRPr="00BF547B">
              <w:rPr>
                <w:rFonts w:asciiTheme="minorHAnsi" w:eastAsiaTheme="minorEastAsia" w:hAnsiTheme="minorHAnsi" w:cstheme="minorBidi"/>
                <w:b/>
                <w:noProof/>
              </w:rPr>
              <w:tab/>
            </w:r>
            <w:r w:rsidR="00BF547B" w:rsidRPr="00BF547B">
              <w:rPr>
                <w:rStyle w:val="Hyperlink"/>
                <w:rFonts w:ascii="Arial" w:eastAsia="Arial" w:hAnsi="Arial" w:cs="Arial"/>
                <w:b/>
                <w:noProof/>
              </w:rPr>
              <w:t>Prvo pitanje:  Koliko brzo nakon ustajanja popušite prvu jutarnju cigaretu?</w:t>
            </w:r>
            <w:r w:rsidR="00BF547B" w:rsidRPr="00BF547B">
              <w:rPr>
                <w:b/>
                <w:noProof/>
                <w:webHidden/>
              </w:rPr>
              <w:tab/>
            </w:r>
            <w:r w:rsidR="00BF547B" w:rsidRPr="00BF547B">
              <w:rPr>
                <w:b/>
                <w:noProof/>
                <w:webHidden/>
              </w:rPr>
              <w:fldChar w:fldCharType="begin"/>
            </w:r>
            <w:r w:rsidR="00BF547B" w:rsidRPr="00BF547B">
              <w:rPr>
                <w:b/>
                <w:noProof/>
                <w:webHidden/>
              </w:rPr>
              <w:instrText xml:space="preserve"> PAGEREF _Toc75635802 \h </w:instrText>
            </w:r>
            <w:r w:rsidR="00BF547B" w:rsidRPr="00BF547B">
              <w:rPr>
                <w:b/>
                <w:noProof/>
                <w:webHidden/>
              </w:rPr>
            </w:r>
            <w:r w:rsidR="00BF547B" w:rsidRPr="00BF547B">
              <w:rPr>
                <w:b/>
                <w:noProof/>
                <w:webHidden/>
              </w:rPr>
              <w:fldChar w:fldCharType="separate"/>
            </w:r>
            <w:r w:rsidR="00BF547B" w:rsidRPr="00BF547B">
              <w:rPr>
                <w:b/>
                <w:noProof/>
                <w:webHidden/>
              </w:rPr>
              <w:t>12</w:t>
            </w:r>
            <w:r w:rsidR="00BF547B" w:rsidRPr="00BF547B">
              <w:rPr>
                <w:b/>
                <w:noProof/>
                <w:webHidden/>
              </w:rPr>
              <w:fldChar w:fldCharType="end"/>
            </w:r>
          </w:hyperlink>
        </w:p>
        <w:p w14:paraId="19FBF3A7" w14:textId="6C897DD1" w:rsidR="00BF547B" w:rsidRPr="00BF547B" w:rsidRDefault="00D9762F">
          <w:pPr>
            <w:pStyle w:val="TOC2"/>
            <w:tabs>
              <w:tab w:val="left" w:pos="880"/>
              <w:tab w:val="right" w:leader="dot" w:pos="9350"/>
            </w:tabs>
            <w:rPr>
              <w:rFonts w:asciiTheme="minorHAnsi" w:eastAsiaTheme="minorEastAsia" w:hAnsiTheme="minorHAnsi" w:cstheme="minorBidi"/>
              <w:b/>
              <w:noProof/>
            </w:rPr>
          </w:pPr>
          <w:hyperlink w:anchor="_Toc75635803" w:history="1">
            <w:r w:rsidR="00BF547B" w:rsidRPr="00BF547B">
              <w:rPr>
                <w:rStyle w:val="Hyperlink"/>
                <w:rFonts w:ascii="Arial" w:eastAsia="Arial" w:hAnsi="Arial" w:cs="Arial"/>
                <w:b/>
                <w:noProof/>
              </w:rPr>
              <w:t>5.4.</w:t>
            </w:r>
            <w:r w:rsidR="00BF547B" w:rsidRPr="00BF547B">
              <w:rPr>
                <w:rFonts w:asciiTheme="minorHAnsi" w:eastAsiaTheme="minorEastAsia" w:hAnsiTheme="minorHAnsi" w:cstheme="minorBidi"/>
                <w:b/>
                <w:noProof/>
              </w:rPr>
              <w:tab/>
            </w:r>
            <w:r w:rsidR="00BF547B" w:rsidRPr="00BF547B">
              <w:rPr>
                <w:rStyle w:val="Hyperlink"/>
                <w:rFonts w:ascii="Arial" w:eastAsia="Arial" w:hAnsi="Arial" w:cs="Arial"/>
                <w:b/>
                <w:noProof/>
              </w:rPr>
              <w:t>Drugo pitanje: Je li Vam teško suzdržati se od pušenja u prostorima gdje je zabranjeno pušenje? (npr. crkva, knjižnica i slično)</w:t>
            </w:r>
            <w:r w:rsidR="00BF547B" w:rsidRPr="00BF547B">
              <w:rPr>
                <w:b/>
                <w:noProof/>
                <w:webHidden/>
              </w:rPr>
              <w:tab/>
            </w:r>
            <w:r w:rsidR="00BF547B" w:rsidRPr="00BF547B">
              <w:rPr>
                <w:b/>
                <w:noProof/>
                <w:webHidden/>
              </w:rPr>
              <w:fldChar w:fldCharType="begin"/>
            </w:r>
            <w:r w:rsidR="00BF547B" w:rsidRPr="00BF547B">
              <w:rPr>
                <w:b/>
                <w:noProof/>
                <w:webHidden/>
              </w:rPr>
              <w:instrText xml:space="preserve"> PAGEREF _Toc75635803 \h </w:instrText>
            </w:r>
            <w:r w:rsidR="00BF547B" w:rsidRPr="00BF547B">
              <w:rPr>
                <w:b/>
                <w:noProof/>
                <w:webHidden/>
              </w:rPr>
            </w:r>
            <w:r w:rsidR="00BF547B" w:rsidRPr="00BF547B">
              <w:rPr>
                <w:b/>
                <w:noProof/>
                <w:webHidden/>
              </w:rPr>
              <w:fldChar w:fldCharType="separate"/>
            </w:r>
            <w:r w:rsidR="00BF547B" w:rsidRPr="00BF547B">
              <w:rPr>
                <w:b/>
                <w:noProof/>
                <w:webHidden/>
              </w:rPr>
              <w:t>15</w:t>
            </w:r>
            <w:r w:rsidR="00BF547B" w:rsidRPr="00BF547B">
              <w:rPr>
                <w:b/>
                <w:noProof/>
                <w:webHidden/>
              </w:rPr>
              <w:fldChar w:fldCharType="end"/>
            </w:r>
          </w:hyperlink>
        </w:p>
        <w:p w14:paraId="71BF1419" w14:textId="0C658A29" w:rsidR="00BF547B" w:rsidRPr="00BF547B" w:rsidRDefault="00D9762F">
          <w:pPr>
            <w:pStyle w:val="TOC2"/>
            <w:tabs>
              <w:tab w:val="left" w:pos="880"/>
              <w:tab w:val="right" w:leader="dot" w:pos="9350"/>
            </w:tabs>
            <w:rPr>
              <w:rFonts w:asciiTheme="minorHAnsi" w:eastAsiaTheme="minorEastAsia" w:hAnsiTheme="minorHAnsi" w:cstheme="minorBidi"/>
              <w:b/>
              <w:noProof/>
            </w:rPr>
          </w:pPr>
          <w:hyperlink w:anchor="_Toc75635804" w:history="1">
            <w:r w:rsidR="00BF547B" w:rsidRPr="00BF547B">
              <w:rPr>
                <w:rStyle w:val="Hyperlink"/>
                <w:rFonts w:ascii="Arial" w:eastAsia="Arial" w:hAnsi="Arial" w:cs="Arial"/>
                <w:b/>
                <w:noProof/>
              </w:rPr>
              <w:t>5.5.</w:t>
            </w:r>
            <w:r w:rsidR="00BF547B" w:rsidRPr="00BF547B">
              <w:rPr>
                <w:rFonts w:asciiTheme="minorHAnsi" w:eastAsiaTheme="minorEastAsia" w:hAnsiTheme="minorHAnsi" w:cstheme="minorBidi"/>
                <w:b/>
                <w:noProof/>
              </w:rPr>
              <w:tab/>
            </w:r>
            <w:r w:rsidR="00BF547B" w:rsidRPr="00BF547B">
              <w:rPr>
                <w:rStyle w:val="Hyperlink"/>
                <w:rFonts w:ascii="Arial" w:eastAsia="Arial" w:hAnsi="Arial" w:cs="Arial"/>
                <w:b/>
                <w:noProof/>
              </w:rPr>
              <w:t>Treće pitanje: Koje biste se cigarete  najteže odrekli?</w:t>
            </w:r>
            <w:r w:rsidR="00BF547B" w:rsidRPr="00BF547B">
              <w:rPr>
                <w:b/>
                <w:noProof/>
                <w:webHidden/>
              </w:rPr>
              <w:tab/>
            </w:r>
            <w:r w:rsidR="00BF547B" w:rsidRPr="00BF547B">
              <w:rPr>
                <w:b/>
                <w:noProof/>
                <w:webHidden/>
              </w:rPr>
              <w:fldChar w:fldCharType="begin"/>
            </w:r>
            <w:r w:rsidR="00BF547B" w:rsidRPr="00BF547B">
              <w:rPr>
                <w:b/>
                <w:noProof/>
                <w:webHidden/>
              </w:rPr>
              <w:instrText xml:space="preserve"> PAGEREF _Toc75635804 \h </w:instrText>
            </w:r>
            <w:r w:rsidR="00BF547B" w:rsidRPr="00BF547B">
              <w:rPr>
                <w:b/>
                <w:noProof/>
                <w:webHidden/>
              </w:rPr>
            </w:r>
            <w:r w:rsidR="00BF547B" w:rsidRPr="00BF547B">
              <w:rPr>
                <w:b/>
                <w:noProof/>
                <w:webHidden/>
              </w:rPr>
              <w:fldChar w:fldCharType="separate"/>
            </w:r>
            <w:r w:rsidR="00BF547B" w:rsidRPr="00BF547B">
              <w:rPr>
                <w:b/>
                <w:noProof/>
                <w:webHidden/>
              </w:rPr>
              <w:t>15</w:t>
            </w:r>
            <w:r w:rsidR="00BF547B" w:rsidRPr="00BF547B">
              <w:rPr>
                <w:b/>
                <w:noProof/>
                <w:webHidden/>
              </w:rPr>
              <w:fldChar w:fldCharType="end"/>
            </w:r>
          </w:hyperlink>
        </w:p>
        <w:p w14:paraId="4A72F965" w14:textId="2959BA7D" w:rsidR="00BF547B" w:rsidRPr="00BF547B" w:rsidRDefault="00D9762F">
          <w:pPr>
            <w:pStyle w:val="TOC2"/>
            <w:tabs>
              <w:tab w:val="left" w:pos="880"/>
              <w:tab w:val="right" w:leader="dot" w:pos="9350"/>
            </w:tabs>
            <w:rPr>
              <w:rFonts w:asciiTheme="minorHAnsi" w:eastAsiaTheme="minorEastAsia" w:hAnsiTheme="minorHAnsi" w:cstheme="minorBidi"/>
              <w:b/>
              <w:noProof/>
            </w:rPr>
          </w:pPr>
          <w:hyperlink w:anchor="_Toc75635805" w:history="1">
            <w:r w:rsidR="00BF547B" w:rsidRPr="00BF547B">
              <w:rPr>
                <w:rStyle w:val="Hyperlink"/>
                <w:rFonts w:ascii="Arial" w:eastAsia="Arial" w:hAnsi="Arial" w:cs="Arial"/>
                <w:b/>
                <w:noProof/>
              </w:rPr>
              <w:t>5.6.</w:t>
            </w:r>
            <w:r w:rsidR="00BF547B" w:rsidRPr="00BF547B">
              <w:rPr>
                <w:rFonts w:asciiTheme="minorHAnsi" w:eastAsiaTheme="minorEastAsia" w:hAnsiTheme="minorHAnsi" w:cstheme="minorBidi"/>
                <w:b/>
                <w:noProof/>
              </w:rPr>
              <w:tab/>
            </w:r>
            <w:r w:rsidR="00BF547B" w:rsidRPr="00BF547B">
              <w:rPr>
                <w:rStyle w:val="Hyperlink"/>
                <w:rFonts w:ascii="Arial" w:eastAsia="Arial" w:hAnsi="Arial" w:cs="Arial"/>
                <w:b/>
                <w:noProof/>
              </w:rPr>
              <w:t>Četvrto pitanje: Koliko cigareta dnevno popušite?</w:t>
            </w:r>
            <w:r w:rsidR="00BF547B" w:rsidRPr="00BF547B">
              <w:rPr>
                <w:b/>
                <w:noProof/>
                <w:webHidden/>
              </w:rPr>
              <w:tab/>
            </w:r>
            <w:r w:rsidR="00BF547B" w:rsidRPr="00BF547B">
              <w:rPr>
                <w:b/>
                <w:noProof/>
                <w:webHidden/>
              </w:rPr>
              <w:fldChar w:fldCharType="begin"/>
            </w:r>
            <w:r w:rsidR="00BF547B" w:rsidRPr="00BF547B">
              <w:rPr>
                <w:b/>
                <w:noProof/>
                <w:webHidden/>
              </w:rPr>
              <w:instrText xml:space="preserve"> PAGEREF _Toc75635805 \h </w:instrText>
            </w:r>
            <w:r w:rsidR="00BF547B" w:rsidRPr="00BF547B">
              <w:rPr>
                <w:b/>
                <w:noProof/>
                <w:webHidden/>
              </w:rPr>
            </w:r>
            <w:r w:rsidR="00BF547B" w:rsidRPr="00BF547B">
              <w:rPr>
                <w:b/>
                <w:noProof/>
                <w:webHidden/>
              </w:rPr>
              <w:fldChar w:fldCharType="separate"/>
            </w:r>
            <w:r w:rsidR="00BF547B" w:rsidRPr="00BF547B">
              <w:rPr>
                <w:b/>
                <w:noProof/>
                <w:webHidden/>
              </w:rPr>
              <w:t>16</w:t>
            </w:r>
            <w:r w:rsidR="00BF547B" w:rsidRPr="00BF547B">
              <w:rPr>
                <w:b/>
                <w:noProof/>
                <w:webHidden/>
              </w:rPr>
              <w:fldChar w:fldCharType="end"/>
            </w:r>
          </w:hyperlink>
        </w:p>
        <w:p w14:paraId="37D66A57" w14:textId="3C24AB7C" w:rsidR="00BF547B" w:rsidRPr="00BF547B" w:rsidRDefault="00D9762F">
          <w:pPr>
            <w:pStyle w:val="TOC2"/>
            <w:tabs>
              <w:tab w:val="left" w:pos="880"/>
              <w:tab w:val="right" w:leader="dot" w:pos="9350"/>
            </w:tabs>
            <w:rPr>
              <w:rFonts w:asciiTheme="minorHAnsi" w:eastAsiaTheme="minorEastAsia" w:hAnsiTheme="minorHAnsi" w:cstheme="minorBidi"/>
              <w:b/>
              <w:noProof/>
            </w:rPr>
          </w:pPr>
          <w:hyperlink w:anchor="_Toc75635806" w:history="1">
            <w:r w:rsidR="00BF547B" w:rsidRPr="00BF547B">
              <w:rPr>
                <w:rStyle w:val="Hyperlink"/>
                <w:rFonts w:ascii="Arial" w:eastAsia="Arial" w:hAnsi="Arial" w:cs="Arial"/>
                <w:b/>
                <w:noProof/>
              </w:rPr>
              <w:t>5.7.</w:t>
            </w:r>
            <w:r w:rsidR="00BF547B" w:rsidRPr="00BF547B">
              <w:rPr>
                <w:rFonts w:asciiTheme="minorHAnsi" w:eastAsiaTheme="minorEastAsia" w:hAnsiTheme="minorHAnsi" w:cstheme="minorBidi"/>
                <w:b/>
                <w:noProof/>
              </w:rPr>
              <w:tab/>
            </w:r>
            <w:r w:rsidR="00BF547B" w:rsidRPr="00BF547B">
              <w:rPr>
                <w:rStyle w:val="Hyperlink"/>
                <w:rFonts w:ascii="Arial" w:eastAsia="Arial" w:hAnsi="Arial" w:cs="Arial"/>
                <w:b/>
                <w:noProof/>
              </w:rPr>
              <w:t>Peto pitanje: Pušite li češće u jutarnjim satima?</w:t>
            </w:r>
            <w:r w:rsidR="00BF547B" w:rsidRPr="00BF547B">
              <w:rPr>
                <w:b/>
                <w:noProof/>
                <w:webHidden/>
              </w:rPr>
              <w:tab/>
            </w:r>
            <w:r w:rsidR="00BF547B" w:rsidRPr="00BF547B">
              <w:rPr>
                <w:b/>
                <w:noProof/>
                <w:webHidden/>
              </w:rPr>
              <w:fldChar w:fldCharType="begin"/>
            </w:r>
            <w:r w:rsidR="00BF547B" w:rsidRPr="00BF547B">
              <w:rPr>
                <w:b/>
                <w:noProof/>
                <w:webHidden/>
              </w:rPr>
              <w:instrText xml:space="preserve"> PAGEREF _Toc75635806 \h </w:instrText>
            </w:r>
            <w:r w:rsidR="00BF547B" w:rsidRPr="00BF547B">
              <w:rPr>
                <w:b/>
                <w:noProof/>
                <w:webHidden/>
              </w:rPr>
            </w:r>
            <w:r w:rsidR="00BF547B" w:rsidRPr="00BF547B">
              <w:rPr>
                <w:b/>
                <w:noProof/>
                <w:webHidden/>
              </w:rPr>
              <w:fldChar w:fldCharType="separate"/>
            </w:r>
            <w:r w:rsidR="00BF547B" w:rsidRPr="00BF547B">
              <w:rPr>
                <w:b/>
                <w:noProof/>
                <w:webHidden/>
              </w:rPr>
              <w:t>17</w:t>
            </w:r>
            <w:r w:rsidR="00BF547B" w:rsidRPr="00BF547B">
              <w:rPr>
                <w:b/>
                <w:noProof/>
                <w:webHidden/>
              </w:rPr>
              <w:fldChar w:fldCharType="end"/>
            </w:r>
          </w:hyperlink>
        </w:p>
        <w:p w14:paraId="37BA4C7F" w14:textId="331A1792" w:rsidR="00BF547B" w:rsidRPr="00BF547B" w:rsidRDefault="00D9762F">
          <w:pPr>
            <w:pStyle w:val="TOC2"/>
            <w:tabs>
              <w:tab w:val="left" w:pos="880"/>
              <w:tab w:val="right" w:leader="dot" w:pos="9350"/>
            </w:tabs>
            <w:rPr>
              <w:rFonts w:asciiTheme="minorHAnsi" w:eastAsiaTheme="minorEastAsia" w:hAnsiTheme="minorHAnsi" w:cstheme="minorBidi"/>
              <w:b/>
              <w:noProof/>
            </w:rPr>
          </w:pPr>
          <w:hyperlink w:anchor="_Toc75635807" w:history="1">
            <w:r w:rsidR="00BF547B" w:rsidRPr="00BF547B">
              <w:rPr>
                <w:rStyle w:val="Hyperlink"/>
                <w:rFonts w:ascii="Arial" w:eastAsia="Arial" w:hAnsi="Arial" w:cs="Arial"/>
                <w:b/>
                <w:noProof/>
              </w:rPr>
              <w:t>5.8.</w:t>
            </w:r>
            <w:r w:rsidR="00BF547B" w:rsidRPr="00BF547B">
              <w:rPr>
                <w:rFonts w:asciiTheme="minorHAnsi" w:eastAsiaTheme="minorEastAsia" w:hAnsiTheme="minorHAnsi" w:cstheme="minorBidi"/>
                <w:b/>
                <w:noProof/>
              </w:rPr>
              <w:tab/>
            </w:r>
            <w:r w:rsidR="00BF547B" w:rsidRPr="00BF547B">
              <w:rPr>
                <w:rStyle w:val="Hyperlink"/>
                <w:rFonts w:ascii="Arial" w:eastAsia="Arial" w:hAnsi="Arial" w:cs="Arial"/>
                <w:b/>
                <w:noProof/>
              </w:rPr>
              <w:t>Šesto pitanje: Pušite li tijekom većine dana u slučaju kad ste toliko bolesni da Vas veže uz krevet?</w:t>
            </w:r>
            <w:r w:rsidR="00BF547B" w:rsidRPr="00BF547B">
              <w:rPr>
                <w:b/>
                <w:noProof/>
                <w:webHidden/>
              </w:rPr>
              <w:tab/>
            </w:r>
            <w:r w:rsidR="00BF547B" w:rsidRPr="00BF547B">
              <w:rPr>
                <w:b/>
                <w:noProof/>
                <w:webHidden/>
              </w:rPr>
              <w:fldChar w:fldCharType="begin"/>
            </w:r>
            <w:r w:rsidR="00BF547B" w:rsidRPr="00BF547B">
              <w:rPr>
                <w:b/>
                <w:noProof/>
                <w:webHidden/>
              </w:rPr>
              <w:instrText xml:space="preserve"> PAGEREF _Toc75635807 \h </w:instrText>
            </w:r>
            <w:r w:rsidR="00BF547B" w:rsidRPr="00BF547B">
              <w:rPr>
                <w:b/>
                <w:noProof/>
                <w:webHidden/>
              </w:rPr>
            </w:r>
            <w:r w:rsidR="00BF547B" w:rsidRPr="00BF547B">
              <w:rPr>
                <w:b/>
                <w:noProof/>
                <w:webHidden/>
              </w:rPr>
              <w:fldChar w:fldCharType="separate"/>
            </w:r>
            <w:r w:rsidR="00BF547B" w:rsidRPr="00BF547B">
              <w:rPr>
                <w:b/>
                <w:noProof/>
                <w:webHidden/>
              </w:rPr>
              <w:t>18</w:t>
            </w:r>
            <w:r w:rsidR="00BF547B" w:rsidRPr="00BF547B">
              <w:rPr>
                <w:b/>
                <w:noProof/>
                <w:webHidden/>
              </w:rPr>
              <w:fldChar w:fldCharType="end"/>
            </w:r>
          </w:hyperlink>
        </w:p>
        <w:p w14:paraId="01156328" w14:textId="5E2E17D8" w:rsidR="00BF547B" w:rsidRPr="00BF547B" w:rsidRDefault="00D9762F">
          <w:pPr>
            <w:pStyle w:val="TOC2"/>
            <w:tabs>
              <w:tab w:val="left" w:pos="880"/>
              <w:tab w:val="right" w:leader="dot" w:pos="9350"/>
            </w:tabs>
            <w:rPr>
              <w:rFonts w:asciiTheme="minorHAnsi" w:eastAsiaTheme="minorEastAsia" w:hAnsiTheme="minorHAnsi" w:cstheme="minorBidi"/>
              <w:b/>
              <w:noProof/>
            </w:rPr>
          </w:pPr>
          <w:hyperlink w:anchor="_Toc75635808" w:history="1">
            <w:r w:rsidR="00BF547B" w:rsidRPr="00BF547B">
              <w:rPr>
                <w:rStyle w:val="Hyperlink"/>
                <w:rFonts w:ascii="Arial" w:hAnsi="Arial" w:cs="Arial"/>
                <w:b/>
                <w:noProof/>
              </w:rPr>
              <w:t xml:space="preserve">5.9. </w:t>
            </w:r>
            <w:r w:rsidR="00BF547B" w:rsidRPr="00BF547B">
              <w:rPr>
                <w:rFonts w:asciiTheme="minorHAnsi" w:eastAsiaTheme="minorEastAsia" w:hAnsiTheme="minorHAnsi" w:cstheme="minorBidi"/>
                <w:b/>
                <w:noProof/>
              </w:rPr>
              <w:tab/>
            </w:r>
            <w:r w:rsidR="00BF547B" w:rsidRPr="00BF547B">
              <w:rPr>
                <w:rStyle w:val="Hyperlink"/>
                <w:rFonts w:ascii="Arial" w:hAnsi="Arial" w:cs="Arial"/>
                <w:b/>
                <w:noProof/>
              </w:rPr>
              <w:t>Pitanje o potencijalnom prihvaćanju lijeka</w:t>
            </w:r>
            <w:r w:rsidR="00BF547B" w:rsidRPr="00BF547B">
              <w:rPr>
                <w:b/>
                <w:noProof/>
                <w:webHidden/>
              </w:rPr>
              <w:tab/>
            </w:r>
            <w:r w:rsidR="00BF547B" w:rsidRPr="00BF547B">
              <w:rPr>
                <w:b/>
                <w:noProof/>
                <w:webHidden/>
              </w:rPr>
              <w:fldChar w:fldCharType="begin"/>
            </w:r>
            <w:r w:rsidR="00BF547B" w:rsidRPr="00BF547B">
              <w:rPr>
                <w:b/>
                <w:noProof/>
                <w:webHidden/>
              </w:rPr>
              <w:instrText xml:space="preserve"> PAGEREF _Toc75635808 \h </w:instrText>
            </w:r>
            <w:r w:rsidR="00BF547B" w:rsidRPr="00BF547B">
              <w:rPr>
                <w:b/>
                <w:noProof/>
                <w:webHidden/>
              </w:rPr>
            </w:r>
            <w:r w:rsidR="00BF547B" w:rsidRPr="00BF547B">
              <w:rPr>
                <w:b/>
                <w:noProof/>
                <w:webHidden/>
              </w:rPr>
              <w:fldChar w:fldCharType="separate"/>
            </w:r>
            <w:r w:rsidR="00BF547B" w:rsidRPr="00BF547B">
              <w:rPr>
                <w:b/>
                <w:noProof/>
                <w:webHidden/>
              </w:rPr>
              <w:t>18</w:t>
            </w:r>
            <w:r w:rsidR="00BF547B" w:rsidRPr="00BF547B">
              <w:rPr>
                <w:b/>
                <w:noProof/>
                <w:webHidden/>
              </w:rPr>
              <w:fldChar w:fldCharType="end"/>
            </w:r>
          </w:hyperlink>
        </w:p>
        <w:p w14:paraId="2C899FCB" w14:textId="74CB7372" w:rsidR="00BF547B" w:rsidRPr="00BF547B" w:rsidRDefault="00D9762F">
          <w:pPr>
            <w:pStyle w:val="TOC1"/>
            <w:tabs>
              <w:tab w:val="right" w:leader="dot" w:pos="9350"/>
            </w:tabs>
            <w:rPr>
              <w:rFonts w:asciiTheme="minorHAnsi" w:eastAsiaTheme="minorEastAsia" w:hAnsiTheme="minorHAnsi" w:cstheme="minorBidi"/>
              <w:b/>
              <w:noProof/>
            </w:rPr>
          </w:pPr>
          <w:hyperlink w:anchor="_Toc75635809" w:history="1">
            <w:r w:rsidR="00BF547B" w:rsidRPr="00BF547B">
              <w:rPr>
                <w:rStyle w:val="Hyperlink"/>
                <w:rFonts w:ascii="Arial" w:hAnsi="Arial" w:cs="Arial"/>
                <w:b/>
                <w:noProof/>
              </w:rPr>
              <w:t>6. RASPRAVA</w:t>
            </w:r>
            <w:r w:rsidR="00BF547B" w:rsidRPr="00BF547B">
              <w:rPr>
                <w:b/>
                <w:noProof/>
                <w:webHidden/>
              </w:rPr>
              <w:tab/>
            </w:r>
            <w:r w:rsidR="00BF547B" w:rsidRPr="00BF547B">
              <w:rPr>
                <w:b/>
                <w:noProof/>
                <w:webHidden/>
              </w:rPr>
              <w:fldChar w:fldCharType="begin"/>
            </w:r>
            <w:r w:rsidR="00BF547B" w:rsidRPr="00BF547B">
              <w:rPr>
                <w:b/>
                <w:noProof/>
                <w:webHidden/>
              </w:rPr>
              <w:instrText xml:space="preserve"> PAGEREF _Toc75635809 \h </w:instrText>
            </w:r>
            <w:r w:rsidR="00BF547B" w:rsidRPr="00BF547B">
              <w:rPr>
                <w:b/>
                <w:noProof/>
                <w:webHidden/>
              </w:rPr>
            </w:r>
            <w:r w:rsidR="00BF547B" w:rsidRPr="00BF547B">
              <w:rPr>
                <w:b/>
                <w:noProof/>
                <w:webHidden/>
              </w:rPr>
              <w:fldChar w:fldCharType="separate"/>
            </w:r>
            <w:r w:rsidR="00BF547B" w:rsidRPr="00BF547B">
              <w:rPr>
                <w:b/>
                <w:noProof/>
                <w:webHidden/>
              </w:rPr>
              <w:t>20</w:t>
            </w:r>
            <w:r w:rsidR="00BF547B" w:rsidRPr="00BF547B">
              <w:rPr>
                <w:b/>
                <w:noProof/>
                <w:webHidden/>
              </w:rPr>
              <w:fldChar w:fldCharType="end"/>
            </w:r>
          </w:hyperlink>
        </w:p>
        <w:p w14:paraId="36C3F34F" w14:textId="408CD88F" w:rsidR="00BF547B" w:rsidRPr="00BF547B" w:rsidRDefault="00D9762F">
          <w:pPr>
            <w:pStyle w:val="TOC2"/>
            <w:tabs>
              <w:tab w:val="left" w:pos="880"/>
              <w:tab w:val="right" w:leader="dot" w:pos="9350"/>
            </w:tabs>
            <w:rPr>
              <w:rFonts w:asciiTheme="minorHAnsi" w:eastAsiaTheme="minorEastAsia" w:hAnsiTheme="minorHAnsi" w:cstheme="minorBidi"/>
              <w:b/>
              <w:noProof/>
            </w:rPr>
          </w:pPr>
          <w:hyperlink w:anchor="_Toc75635810" w:history="1">
            <w:r w:rsidR="00BF547B" w:rsidRPr="00BF547B">
              <w:rPr>
                <w:rStyle w:val="Hyperlink"/>
                <w:rFonts w:ascii="Arial" w:eastAsia="Arial" w:hAnsi="Arial" w:cs="Arial"/>
                <w:b/>
                <w:noProof/>
              </w:rPr>
              <w:t>6.1.</w:t>
            </w:r>
            <w:r w:rsidR="00BF547B" w:rsidRPr="00BF547B">
              <w:rPr>
                <w:rFonts w:asciiTheme="minorHAnsi" w:eastAsiaTheme="minorEastAsia" w:hAnsiTheme="minorHAnsi" w:cstheme="minorBidi"/>
                <w:b/>
                <w:noProof/>
              </w:rPr>
              <w:tab/>
            </w:r>
            <w:r w:rsidR="00BF547B" w:rsidRPr="00BF547B">
              <w:rPr>
                <w:rStyle w:val="Hyperlink"/>
                <w:rFonts w:ascii="Arial" w:eastAsia="Arial" w:hAnsi="Arial" w:cs="Arial"/>
                <w:b/>
                <w:noProof/>
              </w:rPr>
              <w:t>Utjecaj spola na ponašanja vezana uz pušenje</w:t>
            </w:r>
            <w:r w:rsidR="00BF547B" w:rsidRPr="00BF547B">
              <w:rPr>
                <w:b/>
                <w:noProof/>
                <w:webHidden/>
              </w:rPr>
              <w:tab/>
            </w:r>
            <w:r w:rsidR="00BF547B" w:rsidRPr="00BF547B">
              <w:rPr>
                <w:b/>
                <w:noProof/>
                <w:webHidden/>
              </w:rPr>
              <w:fldChar w:fldCharType="begin"/>
            </w:r>
            <w:r w:rsidR="00BF547B" w:rsidRPr="00BF547B">
              <w:rPr>
                <w:b/>
                <w:noProof/>
                <w:webHidden/>
              </w:rPr>
              <w:instrText xml:space="preserve"> PAGEREF _Toc75635810 \h </w:instrText>
            </w:r>
            <w:r w:rsidR="00BF547B" w:rsidRPr="00BF547B">
              <w:rPr>
                <w:b/>
                <w:noProof/>
                <w:webHidden/>
              </w:rPr>
            </w:r>
            <w:r w:rsidR="00BF547B" w:rsidRPr="00BF547B">
              <w:rPr>
                <w:b/>
                <w:noProof/>
                <w:webHidden/>
              </w:rPr>
              <w:fldChar w:fldCharType="separate"/>
            </w:r>
            <w:r w:rsidR="00BF547B" w:rsidRPr="00BF547B">
              <w:rPr>
                <w:b/>
                <w:noProof/>
                <w:webHidden/>
              </w:rPr>
              <w:t>20</w:t>
            </w:r>
            <w:r w:rsidR="00BF547B" w:rsidRPr="00BF547B">
              <w:rPr>
                <w:b/>
                <w:noProof/>
                <w:webHidden/>
              </w:rPr>
              <w:fldChar w:fldCharType="end"/>
            </w:r>
          </w:hyperlink>
        </w:p>
        <w:p w14:paraId="1659E466" w14:textId="20054CB7" w:rsidR="00BF547B" w:rsidRPr="00BF547B" w:rsidRDefault="00D9762F">
          <w:pPr>
            <w:pStyle w:val="TOC2"/>
            <w:tabs>
              <w:tab w:val="left" w:pos="880"/>
              <w:tab w:val="right" w:leader="dot" w:pos="9350"/>
            </w:tabs>
            <w:rPr>
              <w:rFonts w:asciiTheme="minorHAnsi" w:eastAsiaTheme="minorEastAsia" w:hAnsiTheme="minorHAnsi" w:cstheme="minorBidi"/>
              <w:b/>
              <w:noProof/>
            </w:rPr>
          </w:pPr>
          <w:hyperlink w:anchor="_Toc75635811" w:history="1">
            <w:r w:rsidR="00BF547B" w:rsidRPr="00BF547B">
              <w:rPr>
                <w:rStyle w:val="Hyperlink"/>
                <w:rFonts w:ascii="Arial" w:eastAsia="Arial" w:hAnsi="Arial" w:cs="Arial"/>
                <w:b/>
                <w:noProof/>
              </w:rPr>
              <w:t>6.2.</w:t>
            </w:r>
            <w:r w:rsidR="00BF547B" w:rsidRPr="00BF547B">
              <w:rPr>
                <w:rFonts w:asciiTheme="minorHAnsi" w:eastAsiaTheme="minorEastAsia" w:hAnsiTheme="minorHAnsi" w:cstheme="minorBidi"/>
                <w:b/>
                <w:noProof/>
              </w:rPr>
              <w:tab/>
            </w:r>
            <w:r w:rsidR="00BF547B" w:rsidRPr="00BF547B">
              <w:rPr>
                <w:rStyle w:val="Hyperlink"/>
                <w:rFonts w:ascii="Arial" w:eastAsia="Arial" w:hAnsi="Arial" w:cs="Arial"/>
                <w:b/>
                <w:noProof/>
              </w:rPr>
              <w:t>Razlike u ovisničkom ponašanju među studentima biomedicinskih, društveno-humanističkih  i umjetničkih  studija</w:t>
            </w:r>
            <w:r w:rsidR="00BF547B" w:rsidRPr="00BF547B">
              <w:rPr>
                <w:b/>
                <w:noProof/>
                <w:webHidden/>
              </w:rPr>
              <w:tab/>
            </w:r>
            <w:r w:rsidR="00BF547B" w:rsidRPr="00BF547B">
              <w:rPr>
                <w:b/>
                <w:noProof/>
                <w:webHidden/>
              </w:rPr>
              <w:fldChar w:fldCharType="begin"/>
            </w:r>
            <w:r w:rsidR="00BF547B" w:rsidRPr="00BF547B">
              <w:rPr>
                <w:b/>
                <w:noProof/>
                <w:webHidden/>
              </w:rPr>
              <w:instrText xml:space="preserve"> PAGEREF _Toc75635811 \h </w:instrText>
            </w:r>
            <w:r w:rsidR="00BF547B" w:rsidRPr="00BF547B">
              <w:rPr>
                <w:b/>
                <w:noProof/>
                <w:webHidden/>
              </w:rPr>
            </w:r>
            <w:r w:rsidR="00BF547B" w:rsidRPr="00BF547B">
              <w:rPr>
                <w:b/>
                <w:noProof/>
                <w:webHidden/>
              </w:rPr>
              <w:fldChar w:fldCharType="separate"/>
            </w:r>
            <w:r w:rsidR="00BF547B" w:rsidRPr="00BF547B">
              <w:rPr>
                <w:b/>
                <w:noProof/>
                <w:webHidden/>
              </w:rPr>
              <w:t>21</w:t>
            </w:r>
            <w:r w:rsidR="00BF547B" w:rsidRPr="00BF547B">
              <w:rPr>
                <w:b/>
                <w:noProof/>
                <w:webHidden/>
              </w:rPr>
              <w:fldChar w:fldCharType="end"/>
            </w:r>
          </w:hyperlink>
        </w:p>
        <w:p w14:paraId="119BCBD0" w14:textId="0B1E0530" w:rsidR="00BF547B" w:rsidRPr="00BF547B" w:rsidRDefault="00D9762F">
          <w:pPr>
            <w:pStyle w:val="TOC2"/>
            <w:tabs>
              <w:tab w:val="left" w:pos="880"/>
              <w:tab w:val="right" w:leader="dot" w:pos="9350"/>
            </w:tabs>
            <w:rPr>
              <w:rFonts w:asciiTheme="minorHAnsi" w:eastAsiaTheme="minorEastAsia" w:hAnsiTheme="minorHAnsi" w:cstheme="minorBidi"/>
              <w:b/>
              <w:noProof/>
            </w:rPr>
          </w:pPr>
          <w:hyperlink w:anchor="_Toc75635812" w:history="1">
            <w:r w:rsidR="00BF547B" w:rsidRPr="00BF547B">
              <w:rPr>
                <w:rStyle w:val="Hyperlink"/>
                <w:rFonts w:ascii="Arial" w:eastAsia="Arial" w:hAnsi="Arial" w:cs="Arial"/>
                <w:b/>
                <w:noProof/>
              </w:rPr>
              <w:t>6.3.</w:t>
            </w:r>
            <w:r w:rsidR="00BF547B" w:rsidRPr="00BF547B">
              <w:rPr>
                <w:rFonts w:asciiTheme="minorHAnsi" w:eastAsiaTheme="minorEastAsia" w:hAnsiTheme="minorHAnsi" w:cstheme="minorBidi"/>
                <w:b/>
                <w:noProof/>
              </w:rPr>
              <w:tab/>
            </w:r>
            <w:r w:rsidR="00BF547B" w:rsidRPr="00BF547B">
              <w:rPr>
                <w:rStyle w:val="Hyperlink"/>
                <w:rFonts w:ascii="Arial" w:eastAsia="Arial" w:hAnsi="Arial" w:cs="Arial"/>
                <w:b/>
                <w:noProof/>
              </w:rPr>
              <w:t>Spremnost studenata na medikamentozno potpomognuto odustajanje od pušenja</w:t>
            </w:r>
            <w:r w:rsidR="00BF547B" w:rsidRPr="00BF547B">
              <w:rPr>
                <w:b/>
                <w:noProof/>
                <w:webHidden/>
              </w:rPr>
              <w:tab/>
            </w:r>
            <w:r w:rsidR="00BF547B" w:rsidRPr="00BF547B">
              <w:rPr>
                <w:b/>
                <w:noProof/>
                <w:webHidden/>
              </w:rPr>
              <w:fldChar w:fldCharType="begin"/>
            </w:r>
            <w:r w:rsidR="00BF547B" w:rsidRPr="00BF547B">
              <w:rPr>
                <w:b/>
                <w:noProof/>
                <w:webHidden/>
              </w:rPr>
              <w:instrText xml:space="preserve"> PAGEREF _Toc75635812 \h </w:instrText>
            </w:r>
            <w:r w:rsidR="00BF547B" w:rsidRPr="00BF547B">
              <w:rPr>
                <w:b/>
                <w:noProof/>
                <w:webHidden/>
              </w:rPr>
            </w:r>
            <w:r w:rsidR="00BF547B" w:rsidRPr="00BF547B">
              <w:rPr>
                <w:b/>
                <w:noProof/>
                <w:webHidden/>
              </w:rPr>
              <w:fldChar w:fldCharType="separate"/>
            </w:r>
            <w:r w:rsidR="00BF547B" w:rsidRPr="00BF547B">
              <w:rPr>
                <w:b/>
                <w:noProof/>
                <w:webHidden/>
              </w:rPr>
              <w:t>22</w:t>
            </w:r>
            <w:r w:rsidR="00BF547B" w:rsidRPr="00BF547B">
              <w:rPr>
                <w:b/>
                <w:noProof/>
                <w:webHidden/>
              </w:rPr>
              <w:fldChar w:fldCharType="end"/>
            </w:r>
          </w:hyperlink>
        </w:p>
        <w:p w14:paraId="20E6AB3A" w14:textId="7EA180E9" w:rsidR="00BF547B" w:rsidRPr="00BF547B" w:rsidRDefault="00D9762F">
          <w:pPr>
            <w:pStyle w:val="TOC2"/>
            <w:tabs>
              <w:tab w:val="left" w:pos="880"/>
              <w:tab w:val="right" w:leader="dot" w:pos="9350"/>
            </w:tabs>
            <w:rPr>
              <w:rFonts w:asciiTheme="minorHAnsi" w:eastAsiaTheme="minorEastAsia" w:hAnsiTheme="minorHAnsi" w:cstheme="minorBidi"/>
              <w:b/>
              <w:noProof/>
            </w:rPr>
          </w:pPr>
          <w:hyperlink w:anchor="_Toc75635813" w:history="1">
            <w:r w:rsidR="00BF547B" w:rsidRPr="00BF547B">
              <w:rPr>
                <w:rStyle w:val="Hyperlink"/>
                <w:rFonts w:ascii="Arial" w:eastAsia="Arial" w:hAnsi="Arial" w:cs="Arial"/>
                <w:b/>
                <w:noProof/>
              </w:rPr>
              <w:t>6.4.</w:t>
            </w:r>
            <w:r w:rsidR="00BF547B" w:rsidRPr="00BF547B">
              <w:rPr>
                <w:rFonts w:asciiTheme="minorHAnsi" w:eastAsiaTheme="minorEastAsia" w:hAnsiTheme="minorHAnsi" w:cstheme="minorBidi"/>
                <w:b/>
                <w:noProof/>
              </w:rPr>
              <w:tab/>
            </w:r>
            <w:r w:rsidR="00BF547B" w:rsidRPr="00BF547B">
              <w:rPr>
                <w:rStyle w:val="Hyperlink"/>
                <w:rFonts w:ascii="Arial" w:eastAsia="Arial" w:hAnsi="Arial" w:cs="Arial"/>
                <w:b/>
                <w:noProof/>
              </w:rPr>
              <w:t>Statistička ograničenja istraživanja</w:t>
            </w:r>
            <w:r w:rsidR="00BF547B" w:rsidRPr="00BF547B">
              <w:rPr>
                <w:b/>
                <w:noProof/>
                <w:webHidden/>
              </w:rPr>
              <w:tab/>
            </w:r>
            <w:r w:rsidR="00BF547B" w:rsidRPr="00BF547B">
              <w:rPr>
                <w:b/>
                <w:noProof/>
                <w:webHidden/>
              </w:rPr>
              <w:fldChar w:fldCharType="begin"/>
            </w:r>
            <w:r w:rsidR="00BF547B" w:rsidRPr="00BF547B">
              <w:rPr>
                <w:b/>
                <w:noProof/>
                <w:webHidden/>
              </w:rPr>
              <w:instrText xml:space="preserve"> PAGEREF _Toc75635813 \h </w:instrText>
            </w:r>
            <w:r w:rsidR="00BF547B" w:rsidRPr="00BF547B">
              <w:rPr>
                <w:b/>
                <w:noProof/>
                <w:webHidden/>
              </w:rPr>
            </w:r>
            <w:r w:rsidR="00BF547B" w:rsidRPr="00BF547B">
              <w:rPr>
                <w:b/>
                <w:noProof/>
                <w:webHidden/>
              </w:rPr>
              <w:fldChar w:fldCharType="separate"/>
            </w:r>
            <w:r w:rsidR="00BF547B" w:rsidRPr="00BF547B">
              <w:rPr>
                <w:b/>
                <w:noProof/>
                <w:webHidden/>
              </w:rPr>
              <w:t>22</w:t>
            </w:r>
            <w:r w:rsidR="00BF547B" w:rsidRPr="00BF547B">
              <w:rPr>
                <w:b/>
                <w:noProof/>
                <w:webHidden/>
              </w:rPr>
              <w:fldChar w:fldCharType="end"/>
            </w:r>
          </w:hyperlink>
        </w:p>
        <w:p w14:paraId="4C43A08B" w14:textId="2012A334" w:rsidR="00BF547B" w:rsidRPr="00BF547B" w:rsidRDefault="00D9762F">
          <w:pPr>
            <w:pStyle w:val="TOC2"/>
            <w:tabs>
              <w:tab w:val="left" w:pos="880"/>
              <w:tab w:val="right" w:leader="dot" w:pos="9350"/>
            </w:tabs>
            <w:rPr>
              <w:rFonts w:asciiTheme="minorHAnsi" w:eastAsiaTheme="minorEastAsia" w:hAnsiTheme="minorHAnsi" w:cstheme="minorBidi"/>
              <w:b/>
              <w:noProof/>
            </w:rPr>
          </w:pPr>
          <w:hyperlink w:anchor="_Toc75635814" w:history="1">
            <w:r w:rsidR="00BF547B" w:rsidRPr="00BF547B">
              <w:rPr>
                <w:rStyle w:val="Hyperlink"/>
                <w:rFonts w:ascii="Arial" w:eastAsia="Arial" w:hAnsi="Arial" w:cs="Arial"/>
                <w:b/>
                <w:noProof/>
              </w:rPr>
              <w:t>6.5.</w:t>
            </w:r>
            <w:r w:rsidR="00BF547B" w:rsidRPr="00BF547B">
              <w:rPr>
                <w:rFonts w:asciiTheme="minorHAnsi" w:eastAsiaTheme="minorEastAsia" w:hAnsiTheme="minorHAnsi" w:cstheme="minorBidi"/>
                <w:b/>
                <w:noProof/>
              </w:rPr>
              <w:tab/>
            </w:r>
            <w:r w:rsidR="00BF547B" w:rsidRPr="00BF547B">
              <w:rPr>
                <w:rStyle w:val="Hyperlink"/>
                <w:rFonts w:ascii="Arial" w:eastAsia="Arial" w:hAnsi="Arial" w:cs="Arial"/>
                <w:b/>
                <w:noProof/>
              </w:rPr>
              <w:t>Praktične implikacije istraživanja</w:t>
            </w:r>
            <w:r w:rsidR="00BF547B" w:rsidRPr="00BF547B">
              <w:rPr>
                <w:b/>
                <w:noProof/>
                <w:webHidden/>
              </w:rPr>
              <w:tab/>
            </w:r>
            <w:r w:rsidR="00BF547B" w:rsidRPr="00BF547B">
              <w:rPr>
                <w:b/>
                <w:noProof/>
                <w:webHidden/>
              </w:rPr>
              <w:fldChar w:fldCharType="begin"/>
            </w:r>
            <w:r w:rsidR="00BF547B" w:rsidRPr="00BF547B">
              <w:rPr>
                <w:b/>
                <w:noProof/>
                <w:webHidden/>
              </w:rPr>
              <w:instrText xml:space="preserve"> PAGEREF _Toc75635814 \h </w:instrText>
            </w:r>
            <w:r w:rsidR="00BF547B" w:rsidRPr="00BF547B">
              <w:rPr>
                <w:b/>
                <w:noProof/>
                <w:webHidden/>
              </w:rPr>
            </w:r>
            <w:r w:rsidR="00BF547B" w:rsidRPr="00BF547B">
              <w:rPr>
                <w:b/>
                <w:noProof/>
                <w:webHidden/>
              </w:rPr>
              <w:fldChar w:fldCharType="separate"/>
            </w:r>
            <w:r w:rsidR="00BF547B" w:rsidRPr="00BF547B">
              <w:rPr>
                <w:b/>
                <w:noProof/>
                <w:webHidden/>
              </w:rPr>
              <w:t>22</w:t>
            </w:r>
            <w:r w:rsidR="00BF547B" w:rsidRPr="00BF547B">
              <w:rPr>
                <w:b/>
                <w:noProof/>
                <w:webHidden/>
              </w:rPr>
              <w:fldChar w:fldCharType="end"/>
            </w:r>
          </w:hyperlink>
        </w:p>
        <w:p w14:paraId="5972D17B" w14:textId="29174E19" w:rsidR="00BF547B" w:rsidRPr="00BF547B" w:rsidRDefault="00D9762F">
          <w:pPr>
            <w:pStyle w:val="TOC1"/>
            <w:tabs>
              <w:tab w:val="right" w:leader="dot" w:pos="9350"/>
            </w:tabs>
            <w:rPr>
              <w:rFonts w:asciiTheme="minorHAnsi" w:eastAsiaTheme="minorEastAsia" w:hAnsiTheme="minorHAnsi" w:cstheme="minorBidi"/>
              <w:b/>
              <w:noProof/>
            </w:rPr>
          </w:pPr>
          <w:hyperlink w:anchor="_Toc75635815" w:history="1">
            <w:r w:rsidR="00BF547B" w:rsidRPr="00BF547B">
              <w:rPr>
                <w:rStyle w:val="Hyperlink"/>
                <w:rFonts w:ascii="Arial" w:hAnsi="Arial" w:cs="Arial"/>
                <w:b/>
                <w:noProof/>
              </w:rPr>
              <w:t>7. ZAKLJUČAK</w:t>
            </w:r>
            <w:r w:rsidR="00BF547B" w:rsidRPr="00BF547B">
              <w:rPr>
                <w:b/>
                <w:noProof/>
                <w:webHidden/>
              </w:rPr>
              <w:tab/>
            </w:r>
            <w:r w:rsidR="00BF547B" w:rsidRPr="00BF547B">
              <w:rPr>
                <w:b/>
                <w:noProof/>
                <w:webHidden/>
              </w:rPr>
              <w:fldChar w:fldCharType="begin"/>
            </w:r>
            <w:r w:rsidR="00BF547B" w:rsidRPr="00BF547B">
              <w:rPr>
                <w:b/>
                <w:noProof/>
                <w:webHidden/>
              </w:rPr>
              <w:instrText xml:space="preserve"> PAGEREF _Toc75635815 \h </w:instrText>
            </w:r>
            <w:r w:rsidR="00BF547B" w:rsidRPr="00BF547B">
              <w:rPr>
                <w:b/>
                <w:noProof/>
                <w:webHidden/>
              </w:rPr>
            </w:r>
            <w:r w:rsidR="00BF547B" w:rsidRPr="00BF547B">
              <w:rPr>
                <w:b/>
                <w:noProof/>
                <w:webHidden/>
              </w:rPr>
              <w:fldChar w:fldCharType="separate"/>
            </w:r>
            <w:r w:rsidR="00BF547B" w:rsidRPr="00BF547B">
              <w:rPr>
                <w:b/>
                <w:noProof/>
                <w:webHidden/>
              </w:rPr>
              <w:t>24</w:t>
            </w:r>
            <w:r w:rsidR="00BF547B" w:rsidRPr="00BF547B">
              <w:rPr>
                <w:b/>
                <w:noProof/>
                <w:webHidden/>
              </w:rPr>
              <w:fldChar w:fldCharType="end"/>
            </w:r>
          </w:hyperlink>
        </w:p>
        <w:p w14:paraId="24DB457C" w14:textId="7FC0A217" w:rsidR="00BF547B" w:rsidRPr="00BF547B" w:rsidRDefault="00D9762F">
          <w:pPr>
            <w:pStyle w:val="TOC1"/>
            <w:tabs>
              <w:tab w:val="right" w:leader="dot" w:pos="9350"/>
            </w:tabs>
            <w:rPr>
              <w:rFonts w:asciiTheme="minorHAnsi" w:eastAsiaTheme="minorEastAsia" w:hAnsiTheme="minorHAnsi" w:cstheme="minorBidi"/>
              <w:b/>
              <w:noProof/>
            </w:rPr>
          </w:pPr>
          <w:hyperlink w:anchor="_Toc75635816" w:history="1">
            <w:r w:rsidR="00BF547B" w:rsidRPr="00BF547B">
              <w:rPr>
                <w:rStyle w:val="Hyperlink"/>
                <w:rFonts w:ascii="Arial" w:hAnsi="Arial" w:cs="Arial"/>
                <w:b/>
                <w:noProof/>
              </w:rPr>
              <w:t>8. POPIS LITERATURE</w:t>
            </w:r>
            <w:r w:rsidR="00BF547B" w:rsidRPr="00BF547B">
              <w:rPr>
                <w:b/>
                <w:noProof/>
                <w:webHidden/>
              </w:rPr>
              <w:tab/>
            </w:r>
            <w:r w:rsidR="00BF547B" w:rsidRPr="00BF547B">
              <w:rPr>
                <w:b/>
                <w:noProof/>
                <w:webHidden/>
              </w:rPr>
              <w:fldChar w:fldCharType="begin"/>
            </w:r>
            <w:r w:rsidR="00BF547B" w:rsidRPr="00BF547B">
              <w:rPr>
                <w:b/>
                <w:noProof/>
                <w:webHidden/>
              </w:rPr>
              <w:instrText xml:space="preserve"> PAGEREF _Toc75635816 \h </w:instrText>
            </w:r>
            <w:r w:rsidR="00BF547B" w:rsidRPr="00BF547B">
              <w:rPr>
                <w:b/>
                <w:noProof/>
                <w:webHidden/>
              </w:rPr>
            </w:r>
            <w:r w:rsidR="00BF547B" w:rsidRPr="00BF547B">
              <w:rPr>
                <w:b/>
                <w:noProof/>
                <w:webHidden/>
              </w:rPr>
              <w:fldChar w:fldCharType="separate"/>
            </w:r>
            <w:r w:rsidR="00BF547B" w:rsidRPr="00BF547B">
              <w:rPr>
                <w:b/>
                <w:noProof/>
                <w:webHidden/>
              </w:rPr>
              <w:t>24</w:t>
            </w:r>
            <w:r w:rsidR="00BF547B" w:rsidRPr="00BF547B">
              <w:rPr>
                <w:b/>
                <w:noProof/>
                <w:webHidden/>
              </w:rPr>
              <w:fldChar w:fldCharType="end"/>
            </w:r>
          </w:hyperlink>
        </w:p>
        <w:p w14:paraId="0B056BCF" w14:textId="02D6DFC3" w:rsidR="00BF547B" w:rsidRPr="00BF547B" w:rsidRDefault="00D9762F">
          <w:pPr>
            <w:pStyle w:val="TOC1"/>
            <w:tabs>
              <w:tab w:val="right" w:leader="dot" w:pos="9350"/>
            </w:tabs>
            <w:rPr>
              <w:rFonts w:asciiTheme="minorHAnsi" w:eastAsiaTheme="minorEastAsia" w:hAnsiTheme="minorHAnsi" w:cstheme="minorBidi"/>
              <w:b/>
              <w:noProof/>
            </w:rPr>
          </w:pPr>
          <w:hyperlink w:anchor="_Toc75635817" w:history="1">
            <w:r w:rsidR="00BF547B" w:rsidRPr="00BF547B">
              <w:rPr>
                <w:rStyle w:val="Hyperlink"/>
                <w:rFonts w:ascii="Arial" w:hAnsi="Arial" w:cs="Arial"/>
                <w:b/>
                <w:noProof/>
              </w:rPr>
              <w:t>9. SAŽETAK</w:t>
            </w:r>
            <w:r w:rsidR="00BF547B" w:rsidRPr="00BF547B">
              <w:rPr>
                <w:b/>
                <w:noProof/>
                <w:webHidden/>
              </w:rPr>
              <w:tab/>
            </w:r>
            <w:r w:rsidR="00BF547B" w:rsidRPr="00BF547B">
              <w:rPr>
                <w:b/>
                <w:noProof/>
                <w:webHidden/>
              </w:rPr>
              <w:fldChar w:fldCharType="begin"/>
            </w:r>
            <w:r w:rsidR="00BF547B" w:rsidRPr="00BF547B">
              <w:rPr>
                <w:b/>
                <w:noProof/>
                <w:webHidden/>
              </w:rPr>
              <w:instrText xml:space="preserve"> PAGEREF _Toc75635817 \h </w:instrText>
            </w:r>
            <w:r w:rsidR="00BF547B" w:rsidRPr="00BF547B">
              <w:rPr>
                <w:b/>
                <w:noProof/>
                <w:webHidden/>
              </w:rPr>
            </w:r>
            <w:r w:rsidR="00BF547B" w:rsidRPr="00BF547B">
              <w:rPr>
                <w:b/>
                <w:noProof/>
                <w:webHidden/>
              </w:rPr>
              <w:fldChar w:fldCharType="separate"/>
            </w:r>
            <w:r w:rsidR="00BF547B" w:rsidRPr="00BF547B">
              <w:rPr>
                <w:b/>
                <w:noProof/>
                <w:webHidden/>
              </w:rPr>
              <w:t>28</w:t>
            </w:r>
            <w:r w:rsidR="00BF547B" w:rsidRPr="00BF547B">
              <w:rPr>
                <w:b/>
                <w:noProof/>
                <w:webHidden/>
              </w:rPr>
              <w:fldChar w:fldCharType="end"/>
            </w:r>
          </w:hyperlink>
        </w:p>
        <w:p w14:paraId="6A059BCB" w14:textId="498F1C90" w:rsidR="00BF547B" w:rsidRDefault="00D9762F">
          <w:pPr>
            <w:pStyle w:val="TOC1"/>
            <w:tabs>
              <w:tab w:val="right" w:leader="dot" w:pos="9350"/>
            </w:tabs>
            <w:rPr>
              <w:rFonts w:asciiTheme="minorHAnsi" w:eastAsiaTheme="minorEastAsia" w:hAnsiTheme="minorHAnsi" w:cstheme="minorBidi"/>
              <w:noProof/>
            </w:rPr>
          </w:pPr>
          <w:hyperlink w:anchor="_Toc75635818" w:history="1">
            <w:r w:rsidR="00BF547B" w:rsidRPr="00BF547B">
              <w:rPr>
                <w:rStyle w:val="Hyperlink"/>
                <w:rFonts w:ascii="Arial" w:hAnsi="Arial" w:cs="Arial"/>
                <w:b/>
                <w:noProof/>
              </w:rPr>
              <w:t>10. SUMMARY</w:t>
            </w:r>
            <w:r w:rsidR="00BF547B" w:rsidRPr="00BF547B">
              <w:rPr>
                <w:b/>
                <w:noProof/>
                <w:webHidden/>
              </w:rPr>
              <w:tab/>
            </w:r>
            <w:r w:rsidR="00BF547B" w:rsidRPr="00BF547B">
              <w:rPr>
                <w:b/>
                <w:noProof/>
                <w:webHidden/>
              </w:rPr>
              <w:fldChar w:fldCharType="begin"/>
            </w:r>
            <w:r w:rsidR="00BF547B" w:rsidRPr="00BF547B">
              <w:rPr>
                <w:b/>
                <w:noProof/>
                <w:webHidden/>
              </w:rPr>
              <w:instrText xml:space="preserve"> PAGEREF _Toc75635818 \h </w:instrText>
            </w:r>
            <w:r w:rsidR="00BF547B" w:rsidRPr="00BF547B">
              <w:rPr>
                <w:b/>
                <w:noProof/>
                <w:webHidden/>
              </w:rPr>
            </w:r>
            <w:r w:rsidR="00BF547B" w:rsidRPr="00BF547B">
              <w:rPr>
                <w:b/>
                <w:noProof/>
                <w:webHidden/>
              </w:rPr>
              <w:fldChar w:fldCharType="separate"/>
            </w:r>
            <w:r w:rsidR="00BF547B" w:rsidRPr="00BF547B">
              <w:rPr>
                <w:b/>
                <w:noProof/>
                <w:webHidden/>
              </w:rPr>
              <w:t>29</w:t>
            </w:r>
            <w:r w:rsidR="00BF547B" w:rsidRPr="00BF547B">
              <w:rPr>
                <w:b/>
                <w:noProof/>
                <w:webHidden/>
              </w:rPr>
              <w:fldChar w:fldCharType="end"/>
            </w:r>
          </w:hyperlink>
        </w:p>
        <w:p w14:paraId="064DB362" w14:textId="3BA6F009" w:rsidR="00DE4299" w:rsidRDefault="00DE4299" w:rsidP="00756C58">
          <w:pPr>
            <w:spacing w:line="360" w:lineRule="auto"/>
          </w:pPr>
          <w:r w:rsidRPr="00DE4299">
            <w:rPr>
              <w:b/>
              <w:bCs/>
              <w:noProof/>
            </w:rPr>
            <w:fldChar w:fldCharType="end"/>
          </w:r>
        </w:p>
      </w:sdtContent>
    </w:sdt>
    <w:p w14:paraId="6DE7692D" w14:textId="77777777" w:rsidR="00DE4299" w:rsidRDefault="00DE4299" w:rsidP="00756C58">
      <w:pPr>
        <w:pStyle w:val="Heading1"/>
        <w:spacing w:line="360" w:lineRule="auto"/>
        <w:rPr>
          <w:rFonts w:ascii="Arial" w:hAnsi="Arial" w:cs="Arial"/>
          <w:sz w:val="24"/>
          <w:szCs w:val="24"/>
        </w:rPr>
        <w:sectPr w:rsidR="00DE4299">
          <w:headerReference w:type="even" r:id="rId9"/>
          <w:headerReference w:type="default" r:id="rId10"/>
          <w:footerReference w:type="even" r:id="rId11"/>
          <w:headerReference w:type="first" r:id="rId12"/>
          <w:footerReference w:type="first" r:id="rId13"/>
          <w:pgSz w:w="12240" w:h="15840"/>
          <w:pgMar w:top="1440" w:right="1440" w:bottom="1440" w:left="1440" w:header="708" w:footer="708" w:gutter="0"/>
          <w:pgNumType w:start="0"/>
          <w:cols w:space="720"/>
          <w:titlePg/>
        </w:sectPr>
      </w:pPr>
    </w:p>
    <w:p w14:paraId="61BAD47D" w14:textId="77777777" w:rsidR="00076856" w:rsidRPr="00DE4299" w:rsidRDefault="00DE4299" w:rsidP="00756C58">
      <w:pPr>
        <w:pStyle w:val="Heading1"/>
        <w:spacing w:line="360" w:lineRule="auto"/>
        <w:rPr>
          <w:rFonts w:ascii="Arial" w:hAnsi="Arial" w:cs="Arial"/>
          <w:sz w:val="24"/>
          <w:szCs w:val="24"/>
        </w:rPr>
      </w:pPr>
      <w:bookmarkStart w:id="1" w:name="_Toc75635793"/>
      <w:r w:rsidRPr="00DE4299">
        <w:rPr>
          <w:rFonts w:ascii="Arial" w:hAnsi="Arial" w:cs="Arial"/>
          <w:sz w:val="24"/>
          <w:szCs w:val="24"/>
        </w:rPr>
        <w:lastRenderedPageBreak/>
        <w:t>1. UVOD</w:t>
      </w:r>
      <w:bookmarkEnd w:id="1"/>
    </w:p>
    <w:p w14:paraId="5776A40A" w14:textId="2AD84F1F" w:rsidR="00076856" w:rsidRPr="00A54222" w:rsidRDefault="00DE4299" w:rsidP="00756C58">
      <w:pPr>
        <w:spacing w:after="240" w:line="360" w:lineRule="auto"/>
        <w:jc w:val="both"/>
        <w:rPr>
          <w:rFonts w:ascii="Arial" w:eastAsia="Arial" w:hAnsi="Arial" w:cs="Arial"/>
          <w:sz w:val="20"/>
        </w:rPr>
      </w:pPr>
      <w:r w:rsidRPr="00A54222">
        <w:rPr>
          <w:rFonts w:ascii="Arial" w:eastAsia="Arial" w:hAnsi="Arial" w:cs="Arial"/>
          <w:sz w:val="20"/>
        </w:rPr>
        <w:t>Pušenje je vodeći uzrok prijevremenog obolijevanja i smrti. Da je ono glavni preventabilni uzrok smrti pokazuje Izvještaj Svjetske zdravstvene organizacije iz 2020. godine: od posljedica pušenja godišnje umire preko 8 milijuna ljudi. Od toga su 12 milijuna pasivni pušači</w:t>
      </w:r>
      <w:r w:rsidR="007508FC">
        <w:rPr>
          <w:rFonts w:ascii="Arial" w:eastAsia="Arial" w:hAnsi="Arial" w:cs="Arial"/>
          <w:sz w:val="20"/>
        </w:rPr>
        <w:t xml:space="preserve"> </w:t>
      </w:r>
      <w:r w:rsidR="00B67FA8">
        <w:rPr>
          <w:rFonts w:ascii="Arial" w:eastAsia="Arial" w:hAnsi="Arial" w:cs="Arial"/>
          <w:sz w:val="20"/>
        </w:rPr>
        <w:fldChar w:fldCharType="begin" w:fldLock="1"/>
      </w:r>
      <w:r w:rsidR="007508FC">
        <w:rPr>
          <w:rFonts w:ascii="Arial" w:eastAsia="Arial" w:hAnsi="Arial" w:cs="Arial"/>
          <w:sz w:val="20"/>
        </w:rPr>
        <w:instrText xml:space="preserve"> ADDIN ZOTERO_ITEM CSL_CITATION {"citationID":"caxQj1ro","properties":{"formattedCitation":"(1)","plainCitation":"(1)","noteIndex":0},"citationItems":[{"id":"YlNUCLkK/uAtuLCYZ","uris":["http://www.mendeley.com/documents/?uuid=275b3889-c203-390c-bc42-a4a9c995a129"],"uri":["http://www.mendeley.com/documents/?uuid=275b3889-c203-390c-bc42-a4a9c995a129"],"itemData":{"URL":"https://www.who.int/news-room/fact-sheets/detail/tobacco","accessed":{"date-parts":[["2021","6","23"]]},"id":"ITEM-1","issued":{"date-parts":[["0"]]},"title":"Tobacco","type":"webpage"}}],"schema":"https://github.com/citation-style-language/schema/raw/master/csl-citation.json"} </w:instrText>
      </w:r>
      <w:r w:rsidR="00B67FA8">
        <w:rPr>
          <w:rFonts w:ascii="Arial" w:eastAsia="Arial" w:hAnsi="Arial" w:cs="Arial"/>
          <w:sz w:val="20"/>
        </w:rPr>
        <w:fldChar w:fldCharType="separate"/>
      </w:r>
      <w:r w:rsidR="007508FC" w:rsidRPr="007508FC">
        <w:rPr>
          <w:rFonts w:ascii="Arial" w:hAnsi="Arial" w:cs="Arial"/>
          <w:sz w:val="20"/>
        </w:rPr>
        <w:t>(1)</w:t>
      </w:r>
      <w:r w:rsidR="00B67FA8">
        <w:rPr>
          <w:rFonts w:ascii="Arial" w:eastAsia="Arial" w:hAnsi="Arial" w:cs="Arial"/>
          <w:sz w:val="20"/>
        </w:rPr>
        <w:fldChar w:fldCharType="end"/>
      </w:r>
      <w:r w:rsidR="007508FC">
        <w:rPr>
          <w:rFonts w:ascii="Arial" w:eastAsia="Arial" w:hAnsi="Arial" w:cs="Arial"/>
          <w:sz w:val="20"/>
        </w:rPr>
        <w:t>.</w:t>
      </w:r>
      <w:r w:rsidRPr="00A54222">
        <w:rPr>
          <w:rFonts w:ascii="Arial" w:eastAsia="Arial" w:hAnsi="Arial" w:cs="Arial"/>
          <w:sz w:val="20"/>
        </w:rPr>
        <w:t xml:space="preserve"> U duhanskom dimu nalazi se oko 7000 tvari, od kojih su 172 tvari toksične, 47 svrstane pod opasni otpad i 67 dokazani karcinogeni poput arsena, benzena, olova</w:t>
      </w:r>
      <w:r w:rsidR="00F60CE7">
        <w:rPr>
          <w:rFonts w:ascii="Arial" w:eastAsia="Arial" w:hAnsi="Arial" w:cs="Arial"/>
          <w:sz w:val="20"/>
        </w:rPr>
        <w:t xml:space="preserve"> </w:t>
      </w:r>
      <w:r w:rsidR="00F60CE7">
        <w:rPr>
          <w:rFonts w:ascii="Arial" w:eastAsia="Arial" w:hAnsi="Arial" w:cs="Arial"/>
          <w:sz w:val="20"/>
        </w:rPr>
        <w:fldChar w:fldCharType="begin" w:fldLock="1"/>
      </w:r>
      <w:r w:rsidR="007508FC">
        <w:rPr>
          <w:rFonts w:ascii="Arial" w:eastAsia="Arial" w:hAnsi="Arial" w:cs="Arial"/>
          <w:sz w:val="20"/>
        </w:rPr>
        <w:instrText xml:space="preserve"> ADDIN ZOTERO_ITEM CSL_CITATION {"citationID":"7SbeRygz","properties":{"formattedCitation":"(2)","plainCitation":"(2)","noteIndex":0},"citationItems":[{"id":"YlNUCLkK/XHlcX8w2","uris":["http://www.mendeley.com/documents/?uuid=e7353da6-ef0d-363d-b80b-4538c8d7676a"],"uri":["http://www.mendeley.com/documents/?uuid=e7353da6-ef0d-363d-b80b-4538c8d7676a"],"itemData":{"DOI":"10.1111/j.1521-0391.2014.12148.x","abstract":"Background and Objectives: Smoking tobacco is the leading cause of preventable illness in the United States and around the world. However, much remains unknown about the factors that motivate individuals to smoke. Quality of life (QoL) has become an important measure of outcomes across all medical specialties, in both research and clinical settings. To date, there has not been a critical review of the research relevant to QoL in smokers. In this review, we describe which scales are used to quantify the QoL of smokers, the relationship between smoking and QoL and the positive impact of smoking cessation. Methods: Fifty-four relevant studies are included in our review. Results: Low QoL and depression are associated with higher odds of smoking initiation and lower odds of successful smoking cessation. There is a negative relationship between smoking and QoL and the magnitude of this association is related to the number of cigarettes smoked. Secondhand smoke also appears to be negatively associated with QoL. Smoking cessation significantly improves QoL. These findings have been replicated across populations with diverse socioeconomic and cultural groups around the world. Discussion and Conclusions: QoL data promotes smokers and practitioners to become more sensitive to the sub-clinical adverse effects of cigarette smoking, thereby improving motivation to quit, cessation rates, and treatment outcomes. Scientific Significance: Understanding the relationship between QoL and tobacco smoking is important for patients, clinicians, and researchers. (Am J Addict 2014;23:540-562)","author":[{"dropping-particle":"","family":"Goldenberg","given":"Matthew","non-dropping-particle":"","parse-names":false,"suffix":""},{"dropping-particle":"","family":"Danovitch","given":"Itai","non-dropping-particle":"","parse-names":false,"suffix":""},{"dropping-particle":"","family":"Ishak","given":"Waguih William","non-dropping-particle":"","parse-names":false,"suffix":""}],"id":"ITEM-1","issued":{"date-parts":[["0"]]},"title":"Quality of Life and Smoking","type":"article-journal"}}],"schema":"https://github.com/citation-style-language/schema/raw/master/csl-citation.json"} </w:instrText>
      </w:r>
      <w:r w:rsidR="00F60CE7">
        <w:rPr>
          <w:rFonts w:ascii="Arial" w:eastAsia="Arial" w:hAnsi="Arial" w:cs="Arial"/>
          <w:sz w:val="20"/>
        </w:rPr>
        <w:fldChar w:fldCharType="separate"/>
      </w:r>
      <w:r w:rsidR="007508FC" w:rsidRPr="007508FC">
        <w:rPr>
          <w:rFonts w:ascii="Arial" w:hAnsi="Arial" w:cs="Arial"/>
          <w:sz w:val="20"/>
        </w:rPr>
        <w:t>(2)</w:t>
      </w:r>
      <w:r w:rsidR="00F60CE7">
        <w:rPr>
          <w:rFonts w:ascii="Arial" w:eastAsia="Arial" w:hAnsi="Arial" w:cs="Arial"/>
          <w:sz w:val="20"/>
        </w:rPr>
        <w:fldChar w:fldCharType="end"/>
      </w:r>
      <w:r w:rsidRPr="00A54222">
        <w:rPr>
          <w:rFonts w:ascii="Arial" w:eastAsia="Arial" w:hAnsi="Arial" w:cs="Arial"/>
          <w:sz w:val="20"/>
        </w:rPr>
        <w:t>...</w:t>
      </w:r>
    </w:p>
    <w:p w14:paraId="7D7FEB4C" w14:textId="65FD2044" w:rsidR="00076856" w:rsidRPr="00A54222" w:rsidRDefault="00DE4299" w:rsidP="00756C58">
      <w:pPr>
        <w:spacing w:after="240" w:line="360" w:lineRule="auto"/>
        <w:jc w:val="both"/>
        <w:rPr>
          <w:rFonts w:ascii="Arial" w:eastAsia="Arial" w:hAnsi="Arial" w:cs="Arial"/>
          <w:sz w:val="20"/>
        </w:rPr>
      </w:pPr>
      <w:r w:rsidRPr="00A54222">
        <w:rPr>
          <w:rFonts w:ascii="Arial" w:eastAsia="Arial" w:hAnsi="Arial" w:cs="Arial"/>
          <w:sz w:val="20"/>
        </w:rPr>
        <w:t>Prema arheološkim podacima drevna civilizacija Maya konzumirala je duhan još u 1. stoljeću p.n.e. te su ga španjolski i portugalski kolonisti u eri velikih geografskih otkrića donijeli u Euroaziju. Od tada pušenje duhana postaje rašireno diljem svijeta, a rastom duhanske industrije i njezinim obmanjivanjem stanovnika</w:t>
      </w:r>
      <w:r w:rsidR="00B67FA8">
        <w:rPr>
          <w:rFonts w:ascii="Arial" w:eastAsia="Arial" w:hAnsi="Arial" w:cs="Arial"/>
          <w:sz w:val="20"/>
        </w:rPr>
        <w:t xml:space="preserve"> </w:t>
      </w:r>
      <w:r w:rsidR="00B67FA8">
        <w:rPr>
          <w:rFonts w:ascii="Arial" w:eastAsia="Arial" w:hAnsi="Arial" w:cs="Arial"/>
          <w:sz w:val="20"/>
        </w:rPr>
        <w:fldChar w:fldCharType="begin" w:fldLock="1"/>
      </w:r>
      <w:r w:rsidR="007508FC">
        <w:rPr>
          <w:rFonts w:ascii="Arial" w:eastAsia="Arial" w:hAnsi="Arial" w:cs="Arial"/>
          <w:sz w:val="20"/>
        </w:rPr>
        <w:instrText xml:space="preserve"> ADDIN ZOTERO_ITEM CSL_CITATION {"citationID":"s69O5zrQ","properties":{"formattedCitation":"(3)","plainCitation":"(3)","noteIndex":0},"citationItems":[{"id":"YlNUCLkK/XLb1wKmh","uris":["http://www.mendeley.com/documents/?uuid=5715f7b4-499b-35bb-89e5-8b352314c832"],"uri":["http://www.mendeley.com/documents/?uuid=5715f7b4-499b-35bb-89e5-8b352314c832"],"itemData":{"DOI":"10.4103/2231-0762.115708","ISSN":"2231-0762","PMID":"24478974","abstract":"This article provides information on the origin of tobacco and its subsequent spread throughout the world. In the era of the migration of communities, tobacco use gradually gained access and subsequently migrated along with the migrants, establishing in different locations. Probably at that time people were unaware of the health hazards and were using tobacco in treating certain ailments. Much has been known and written about tobacco in the context of oral and general health hazards but little has been explored and is known to many about where from and how this plant, which is now used in various forms, and speading widely. In what form, where, and how it had been served in religious rituals and considered for treatment or remedy of certain ailments in those days could not certainly be known. In the 21(st) century, people are considering hazardous tobacco as beneficial for their teeth, good for concentration of mind, and something which keeps them engaged. Even many professionals, though knowing the deleterious effects, are still using tobacco and gutkha in one or the other form. This article has been designed to revive the awareness for health hazards of tobacco and similar products. A pilot project questionnaire survey comprising this subject involving the educated mass has already been started and will be produced after analysis of data in part II of this paper.","author":[{"dropping-particle":"","family":"Mishra","given":"Shanu","non-dropping-particle":"","parse-names":false,"suffix":""},{"dropping-particle":"","family":"Mishra","given":"MB","non-dropping-particle":"","parse-names":false,"suffix":""}],"container-title":"Journal of International Society of Preventive and Community Dentistry","id":"ITEM-1","issue":"1","issued":{"date-parts":[["2013"]]},"page":"12","publisher":"Medknow","title":"Tobacco: Its historical, cultural, oral, and periodontal health association","type":"article-journal","volume":"3"}}],"schema":"https://github.com/citation-style-language/schema/raw/master/csl-citation.json"} </w:instrText>
      </w:r>
      <w:r w:rsidR="00B67FA8">
        <w:rPr>
          <w:rFonts w:ascii="Arial" w:eastAsia="Arial" w:hAnsi="Arial" w:cs="Arial"/>
          <w:sz w:val="20"/>
        </w:rPr>
        <w:fldChar w:fldCharType="separate"/>
      </w:r>
      <w:r w:rsidR="007508FC" w:rsidRPr="007508FC">
        <w:rPr>
          <w:rFonts w:ascii="Arial" w:hAnsi="Arial" w:cs="Arial"/>
          <w:sz w:val="20"/>
        </w:rPr>
        <w:t>(3)</w:t>
      </w:r>
      <w:r w:rsidR="00B67FA8">
        <w:rPr>
          <w:rFonts w:ascii="Arial" w:eastAsia="Arial" w:hAnsi="Arial" w:cs="Arial"/>
          <w:sz w:val="20"/>
        </w:rPr>
        <w:fldChar w:fldCharType="end"/>
      </w:r>
      <w:r w:rsidRPr="00A54222">
        <w:rPr>
          <w:rFonts w:ascii="Arial" w:eastAsia="Arial" w:hAnsi="Arial" w:cs="Arial"/>
          <w:sz w:val="20"/>
        </w:rPr>
        <w:t xml:space="preserve"> pušenje duhana počinje oblikovati zdravlje ljudi i postaje ono što je i danas – jedan od glavnih preventabilnih uzroka smrti u svijetu. Pušenje je ubrzalo epidemiološki pomak s infektivnih na neinfektivne bolesti. Povećalo je učestalost obolijevanja od raka pluća i drugih malignih bolesti, doprinijelo riziku obolijevanja od kroničnih bolesti dok se broj zaraza i njihovih posljedica postupno smanjivao</w:t>
      </w:r>
      <w:r w:rsidR="007508FC">
        <w:rPr>
          <w:rFonts w:ascii="Arial" w:eastAsia="Arial" w:hAnsi="Arial" w:cs="Arial"/>
          <w:sz w:val="20"/>
        </w:rPr>
        <w:t xml:space="preserve">. </w:t>
      </w:r>
      <w:r w:rsidR="00B67FA8">
        <w:rPr>
          <w:rFonts w:ascii="Arial" w:eastAsia="Arial" w:hAnsi="Arial" w:cs="Arial"/>
          <w:sz w:val="20"/>
        </w:rPr>
        <w:fldChar w:fldCharType="begin" w:fldLock="1"/>
      </w:r>
      <w:r w:rsidR="007508FC">
        <w:rPr>
          <w:rFonts w:ascii="Arial" w:eastAsia="Arial" w:hAnsi="Arial" w:cs="Arial"/>
          <w:sz w:val="20"/>
        </w:rPr>
        <w:instrText xml:space="preserve"> ADDIN ZOTERO_ITEM CSL_CITATION {"citationID":"RLmMYOxa","properties":{"formattedCitation":"(4)","plainCitation":"(4)","noteIndex":0},"citationItems":[{"id":"YlNUCLkK/phiFvcRj","uris":["http://www.mendeley.com/documents/?uuid=60a81643-da61-365b-ba54-6617b903151c"],"uri":["http://www.mendeley.com/documents/?uuid=60a81643-da61-365b-ba54-6617b903151c"],"itemData":{"DOI":"10.1093/aje/kwv156","ISSN":"14766256","PMID":"26867777","abstract":"In this article, I provide a perspective on the tobacco epidemic and epidemiology, describing the impact of the tobacco-caused disease epidemic on the field of epidemiology. Although there is an enormous body of epidemiologic evidence on the associations of smoking with health, little systematic attention has been given to how decades of research have affected epidemiology and its practice. I address the many advances that resulted from epidemiologic research on smoking and health, such as demonstration of the utility of observational designs and important parameters (the odds ratio and the population attributable risk), guidelines for causal inference, and systematic review approaches. I also cover unintended and adverse consequences for the field, including the strategy of doubt creation and the recruitment of epidemiologists by the tobacco industry to serve its mission. The paradigm of evidence-based action for addressing noncommunicable diseases began with the need to address the epidemic of tobacco-caused disease, an imperative for action documented by epidemiologic research.","author":[{"dropping-particle":"","family":"Samet","given":"Jonathan M.","non-dropping-particle":"","parse-names":false,"suffix":""}],"container-title":"American Journal of Epidemiology","id":"ITEM-1","issue":"5","issued":{"date-parts":[["2016","3","1"]]},"page":"394-402","publisher":"Oxford University Press","title":"Epidemiology and the tobacco epidemic: How research on tobacco and health shaped epidemiology","type":"article","volume":"183"}}],"schema":"https://github.com/citation-style-language/schema/raw/master/csl-citation.json"} </w:instrText>
      </w:r>
      <w:r w:rsidR="00B67FA8">
        <w:rPr>
          <w:rFonts w:ascii="Arial" w:eastAsia="Arial" w:hAnsi="Arial" w:cs="Arial"/>
          <w:sz w:val="20"/>
        </w:rPr>
        <w:fldChar w:fldCharType="separate"/>
      </w:r>
      <w:r w:rsidR="007508FC" w:rsidRPr="007508FC">
        <w:rPr>
          <w:rFonts w:ascii="Arial" w:hAnsi="Arial" w:cs="Arial"/>
          <w:sz w:val="20"/>
        </w:rPr>
        <w:t>(4)</w:t>
      </w:r>
      <w:r w:rsidR="00B67FA8">
        <w:rPr>
          <w:rFonts w:ascii="Arial" w:eastAsia="Arial" w:hAnsi="Arial" w:cs="Arial"/>
          <w:sz w:val="20"/>
        </w:rPr>
        <w:fldChar w:fldCharType="end"/>
      </w:r>
      <w:r w:rsidRPr="00A54222">
        <w:rPr>
          <w:rFonts w:ascii="Arial" w:eastAsia="Arial" w:hAnsi="Arial" w:cs="Arial"/>
          <w:sz w:val="20"/>
        </w:rPr>
        <w:t xml:space="preserve"> Tako je rak pluća danas vodeći uzrok smrti od zloćudnih bolesti, a glavni rizik obolijevanja upravo je pušenje, kako u Hrvatskoj tako i diljem svijeta. Čak 90% oboljelih su pušači</w:t>
      </w:r>
      <w:r w:rsidR="00B67FA8">
        <w:rPr>
          <w:rFonts w:ascii="Arial" w:eastAsia="Arial" w:hAnsi="Arial" w:cs="Arial"/>
          <w:sz w:val="20"/>
        </w:rPr>
        <w:t xml:space="preserve"> </w:t>
      </w:r>
      <w:r w:rsidR="00B67FA8">
        <w:rPr>
          <w:rFonts w:ascii="Arial" w:eastAsia="Arial" w:hAnsi="Arial" w:cs="Arial"/>
          <w:sz w:val="20"/>
        </w:rPr>
        <w:fldChar w:fldCharType="begin" w:fldLock="1"/>
      </w:r>
      <w:r w:rsidR="007508FC">
        <w:rPr>
          <w:rFonts w:ascii="Arial" w:eastAsia="Arial" w:hAnsi="Arial" w:cs="Arial"/>
          <w:sz w:val="20"/>
        </w:rPr>
        <w:instrText xml:space="preserve"> ADDIN ZOTERO_ITEM CSL_CITATION {"citationID":"6MpM6fld","properties":{"formattedCitation":"(5)","plainCitation":"(5)","noteIndex":0},"citationItems":[{"id":"YlNUCLkK/6EzqGIeH","uris":["http://www.mendeley.com/documents/?uuid=713c0cd7-031e-32e5-be1a-b054fe9af039"],"uri":["http://www.mendeley.com/documents/?uuid=713c0cd7-031e-32e5-be1a-b054fe9af039"],"itemData":{"DOI":"10.21101/cejph.a3702","ISSN":"12107778","PMID":"22571009","abstract":"Tobacco is the largest cause of morbidity and mortality. The aim of this study is to analyse several health and economically related indicators of tobacco consumption: smoking prevalence, standardized death rates (SDRs) from lung cancer and the proportion of GDP spent on tobacco in Croatia and other transitional countries--the Czech Republic, Slovakia, Poland, Hungary, Slovenia, Romania, and Bulgaria. The overall smoking prevalence in Croatia decreased by 5.2% during 1994-2005, more among females (-9.9%) than males (-0.3%). There is no significant difference in the smoking prevalence between Croatia (27.4%) and other countries. However, 33.8% of Croatian males smoked during 2002-2005, more than in Romania and the Czech Republic, and less than in Hungary and Poland. The prevalence of female smoking (21.7%) in Croatia is similar to the female smoking prevalence in Poland, the Czech Republic, and Hungary, but male smoking is predominant in all countries. The proportion of smokers among youth is above 20% and it is the highest in the Czech Republic (29.7%), followed by Hungary (26.7%), Slovenia (24.9%), Croatia (24.1%), and Poland (21.5%). The proportion of smokers among girls is higher than among boys in Slovenia, Hungary, the Czech Republic, and Croatia, contrary to Slovakia, Bulgaria, and Poland where boys smoke slightly more. There is no significant difference between the prevalence of smoking among girls in Croatia and Bulgaria, Poland, the Czech Republic, Hungary, Slovenia, and Slovakia. According to the SDR from lung cancer in males (70.3/100,000), Croatia is ranked high assuming the 3rd place, after Hungary (99.7) and Poland (72.0). With a SDR of 15.9/100,000 for females, Croatia is ranked slightly better--5th place. Tobacco consumption continues to be a major public health problem in transitional countries. Croatia conducted several campaigns and programmes in the past. However, results reveal that current anti-tobacco strategies are ineffective in reducing the smoking prevalence among men and youth. Men do not smoke less than a decade ago and, despite the observed decline among women, increasing trends are observed among teenage girls. Croatia should apply a comprehensive approach that would include raising awareness of health risks, restriction of smoking in public places, higher taxing, implementing stricter bans on advertising and promotion of tobacco as well as supporting smoking cessation. This last measure is believed to bring about some res…","author":[{"dropping-particle":"","family":"Padjen","given":"Ivan","non-dropping-particle":"","parse-names":false,"suffix":""},{"dropping-particle":"","family":"Dabić","given":"Marina","non-dropping-particle":"","parse-names":false,"suffix":""},{"dropping-particle":"","family":"Glivetić","given":"Tatjana","non-dropping-particle":"","parse-names":false,"suffix":""},{"dropping-particle":"","family":"Biloglav","given":"Zrinka","non-dropping-particle":"","parse-names":false,"suffix":""},{"dropping-particle":"","family":"Biocina-Lukendas","given":"Dolores","non-dropping-particle":"","parse-names":false,"suffix":""},{"dropping-particle":"","family":"Lukenda","given":"Josip","non-dropping-particle":"","parse-names":false,"suffix":""}],"container-title":"Central European journal of public health","id":"ITEM-1","issue":"1","issued":{"date-parts":[["2012"]]},"page":"5-10","publisher":"Cent Eur J Public Health","title":"The analysis of tobacco consumption in Croatia--are we successfully facing the epidemic?","type":"article-journal","volume":"20"}}],"schema":"https://github.com/citation-style-language/schema/raw/master/csl-citation.json"} </w:instrText>
      </w:r>
      <w:r w:rsidR="00B67FA8">
        <w:rPr>
          <w:rFonts w:ascii="Arial" w:eastAsia="Arial" w:hAnsi="Arial" w:cs="Arial"/>
          <w:sz w:val="20"/>
        </w:rPr>
        <w:fldChar w:fldCharType="separate"/>
      </w:r>
      <w:r w:rsidR="007508FC" w:rsidRPr="007508FC">
        <w:rPr>
          <w:rFonts w:ascii="Arial" w:hAnsi="Arial" w:cs="Arial"/>
          <w:sz w:val="20"/>
        </w:rPr>
        <w:t>(5)</w:t>
      </w:r>
      <w:r w:rsidR="00B67FA8">
        <w:rPr>
          <w:rFonts w:ascii="Arial" w:eastAsia="Arial" w:hAnsi="Arial" w:cs="Arial"/>
          <w:sz w:val="20"/>
        </w:rPr>
        <w:fldChar w:fldCharType="end"/>
      </w:r>
      <w:r w:rsidRPr="00A54222">
        <w:rPr>
          <w:rFonts w:ascii="Arial" w:eastAsia="Arial" w:hAnsi="Arial" w:cs="Arial"/>
          <w:sz w:val="20"/>
        </w:rPr>
        <w:t>. Još je 1930-tih godina u Europi uviđen štetni utjecaj duhana, ali tamo je kampanja protiv pušenja doživjela pad u Drugom svjetskom ratu, dok je duhanska industrija doživjela uspon. Iako je ranije bilo sumnji i istraživanja na tu temu, ponovni početak proučavanja štetnosti pušenja duhana na zdravlje uzima maha 1950-tih kada se prepoznaje njegova povezanost s rakom pluća</w:t>
      </w:r>
      <w:r w:rsidR="00B67FA8">
        <w:rPr>
          <w:rFonts w:ascii="Arial" w:eastAsia="Arial" w:hAnsi="Arial" w:cs="Arial"/>
          <w:sz w:val="20"/>
        </w:rPr>
        <w:t xml:space="preserve"> </w:t>
      </w:r>
      <w:r w:rsidR="00B67FA8">
        <w:rPr>
          <w:rFonts w:ascii="Arial" w:eastAsia="Arial" w:hAnsi="Arial" w:cs="Arial"/>
          <w:sz w:val="20"/>
        </w:rPr>
        <w:fldChar w:fldCharType="begin" w:fldLock="1"/>
      </w:r>
      <w:r w:rsidR="007508FC">
        <w:rPr>
          <w:rFonts w:ascii="Arial" w:eastAsia="Arial" w:hAnsi="Arial" w:cs="Arial"/>
          <w:sz w:val="20"/>
        </w:rPr>
        <w:instrText xml:space="preserve"> ADDIN ZOTERO_ITEM CSL_CITATION {"citationID":"gTYn5y3L","properties":{"formattedCitation":"(4)","plainCitation":"(4)","noteIndex":0},"citationItems":[{"id":"YlNUCLkK/phiFvcRj","uris":["http://www.mendeley.com/documents/?uuid=60a81643-da61-365b-ba54-6617b903151c"],"uri":["http://www.mendeley.com/documents/?uuid=60a81643-da61-365b-ba54-6617b903151c"],"itemData":{"DOI":"10.1093/aje/kwv156","ISSN":"14766256","PMID":"26867777","abstract":"In this article, I provide a perspective on the tobacco epidemic and epidemiology, describing the impact of the tobacco-caused disease epidemic on the field of epidemiology. Although there is an enormous body of epidemiologic evidence on the associations of smoking with health, little systematic attention has been given to how decades of research have affected epidemiology and its practice. I address the many advances that resulted from epidemiologic research on smoking and health, such as demonstration of the utility of observational designs and important parameters (the odds ratio and the population attributable risk), guidelines for causal inference, and systematic review approaches. I also cover unintended and adverse consequences for the field, including the strategy of doubt creation and the recruitment of epidemiologists by the tobacco industry to serve its mission. The paradigm of evidence-based action for addressing noncommunicable diseases began with the need to address the epidemic of tobacco-caused disease, an imperative for action documented by epidemiologic research.","author":[{"dropping-particle":"","family":"Samet","given":"Jonathan M.","non-dropping-particle":"","parse-names":false,"suffix":""}],"container-title":"American Journal of Epidemiology","id":"ITEM-1","issue":"5","issued":{"date-parts":[["2016","3","1"]]},"page":"394-402","publisher":"Oxford University Press","title":"Epidemiology and the tobacco epidemic: How research on tobacco and health shaped epidemiology","type":"article","volume":"183"}}],"schema":"https://github.com/citation-style-language/schema/raw/master/csl-citation.json"} </w:instrText>
      </w:r>
      <w:r w:rsidR="00B67FA8">
        <w:rPr>
          <w:rFonts w:ascii="Arial" w:eastAsia="Arial" w:hAnsi="Arial" w:cs="Arial"/>
          <w:sz w:val="20"/>
        </w:rPr>
        <w:fldChar w:fldCharType="separate"/>
      </w:r>
      <w:r w:rsidR="007508FC" w:rsidRPr="007508FC">
        <w:rPr>
          <w:rFonts w:ascii="Arial" w:hAnsi="Arial" w:cs="Arial"/>
          <w:sz w:val="20"/>
        </w:rPr>
        <w:t>(4)</w:t>
      </w:r>
      <w:r w:rsidR="00B67FA8">
        <w:rPr>
          <w:rFonts w:ascii="Arial" w:eastAsia="Arial" w:hAnsi="Arial" w:cs="Arial"/>
          <w:sz w:val="20"/>
        </w:rPr>
        <w:fldChar w:fldCharType="end"/>
      </w:r>
      <w:r w:rsidRPr="00A54222">
        <w:rPr>
          <w:rFonts w:ascii="Arial" w:eastAsia="Arial" w:hAnsi="Arial" w:cs="Arial"/>
          <w:sz w:val="20"/>
        </w:rPr>
        <w:t>. Tada započinju javnozdravstvene kampanje protiv pušenja koje uspješno smanjuju pušenje u razvijenim zemljama, dok su nerazvijene i srednje razvijene zemlje danas one s najvećom prevalencijom pušača i smrti od bolesti povezanih s pušenjem.</w:t>
      </w:r>
    </w:p>
    <w:p w14:paraId="2F72B061" w14:textId="388ED468" w:rsidR="00076856" w:rsidRPr="00A54222" w:rsidRDefault="00DE4299" w:rsidP="00756C58">
      <w:pPr>
        <w:spacing w:after="240" w:line="360" w:lineRule="auto"/>
        <w:jc w:val="both"/>
        <w:rPr>
          <w:rFonts w:ascii="Arial" w:eastAsia="Arial" w:hAnsi="Arial" w:cs="Arial"/>
          <w:sz w:val="20"/>
        </w:rPr>
      </w:pPr>
      <w:r w:rsidRPr="00A54222">
        <w:rPr>
          <w:rFonts w:ascii="Arial" w:eastAsia="Arial" w:hAnsi="Arial" w:cs="Arial"/>
          <w:sz w:val="20"/>
        </w:rPr>
        <w:t>Utvrđeno je kako pušenje pridonosi povećanom riziku obolijevanja od niza bolesti uključujući: 9 vrsta zloćudnih tumora, kardiovaskularne bolesti, kronične opstruktivne plućne bolesti i respiratorne bolesti. Ima nepovoljne učinke na funkciju dišnog sustava, trudnoću, osteoporozu i druge bolesti. Pasivno pušenje može biti uzrok: koronarne srčane bolesti, raka pluća, smetnji mirisa i iritacije nosa u odraslih</w:t>
      </w:r>
      <w:r w:rsidR="00B67FA8">
        <w:rPr>
          <w:rFonts w:ascii="Arial" w:eastAsia="Arial" w:hAnsi="Arial" w:cs="Arial"/>
          <w:sz w:val="20"/>
        </w:rPr>
        <w:t xml:space="preserve"> </w:t>
      </w:r>
      <w:r w:rsidR="00B67FA8">
        <w:rPr>
          <w:rFonts w:ascii="Arial" w:eastAsia="Arial" w:hAnsi="Arial" w:cs="Arial"/>
          <w:sz w:val="20"/>
        </w:rPr>
        <w:fldChar w:fldCharType="begin" w:fldLock="1"/>
      </w:r>
      <w:r w:rsidR="007508FC">
        <w:rPr>
          <w:rFonts w:ascii="Arial" w:eastAsia="Arial" w:hAnsi="Arial" w:cs="Arial"/>
          <w:sz w:val="20"/>
        </w:rPr>
        <w:instrText xml:space="preserve"> ADDIN ZOTERO_ITEM CSL_CITATION {"citationID":"8KzbhhzJ","properties":{"formattedCitation":"(6)","plainCitation":"(6)","noteIndex":0},"citationItems":[{"id":"YlNUCLkK/BP3XAKAU","uris":["http://www.mendeley.com/documents/?uuid=4d9d33b8-0a69-3c65-b559-655770ebef2e"],"uri":["http://www.mendeley.com/documents/?uuid=4d9d33b8-0a69-3c65-b559-655770ebef2e"],"itemData":{"DOI":"10.1093/aje/kwt335","author":[{"dropping-particle":"","family":"Alberg","given":"Anthony J","non-dropping-particle":"","parse-names":false,"suffix":""},{"dropping-particle":"","family":"Shopland","given":"Donald R","non-dropping-particle":"","parse-names":false,"suffix":""},{"dropping-particle":"","family":"Cummings","given":"K Michael","non-dropping-particle":"","parse-names":false,"suffix":""}],"id":"ITEM-1","issued":{"date-parts":[["2014"]]},"title":"of Cigarette Smoking","type":"article-journal"}}],"schema":"https://github.com/citation-style-language/schema/raw/master/csl-citation.json"} </w:instrText>
      </w:r>
      <w:r w:rsidR="00B67FA8">
        <w:rPr>
          <w:rFonts w:ascii="Arial" w:eastAsia="Arial" w:hAnsi="Arial" w:cs="Arial"/>
          <w:sz w:val="20"/>
        </w:rPr>
        <w:fldChar w:fldCharType="separate"/>
      </w:r>
      <w:r w:rsidR="007508FC" w:rsidRPr="007508FC">
        <w:rPr>
          <w:rFonts w:ascii="Arial" w:hAnsi="Arial" w:cs="Arial"/>
          <w:sz w:val="20"/>
        </w:rPr>
        <w:t>(6)</w:t>
      </w:r>
      <w:r w:rsidR="00B67FA8">
        <w:rPr>
          <w:rFonts w:ascii="Arial" w:eastAsia="Arial" w:hAnsi="Arial" w:cs="Arial"/>
          <w:sz w:val="20"/>
        </w:rPr>
        <w:fldChar w:fldCharType="end"/>
      </w:r>
      <w:r w:rsidRPr="00A54222">
        <w:rPr>
          <w:rFonts w:ascii="Arial" w:eastAsia="Arial" w:hAnsi="Arial" w:cs="Arial"/>
          <w:sz w:val="20"/>
        </w:rPr>
        <w:t xml:space="preserve">. Čak i u odsutnosti klinički dokazane bolesti, zabilježen je niži sveukupni zdravstveni status. U studiji iz 2014. objavljenoj u američkom časopisu The American Journal on Addictions, </w:t>
      </w:r>
      <w:r w:rsidR="00C26951" w:rsidRPr="00A54222">
        <w:rPr>
          <w:rFonts w:ascii="Arial" w:eastAsia="Arial" w:hAnsi="Arial" w:cs="Arial"/>
          <w:sz w:val="20"/>
        </w:rPr>
        <w:t xml:space="preserve">u kojoj je korišten multidimenzionalni konstrukt QoL </w:t>
      </w:r>
      <w:r w:rsidR="00C26951" w:rsidRPr="00A54222">
        <w:rPr>
          <w:rFonts w:ascii="Arial" w:eastAsia="Arial" w:hAnsi="Arial" w:cs="Arial"/>
          <w:i/>
          <w:sz w:val="20"/>
        </w:rPr>
        <w:t>(Quality of Life)</w:t>
      </w:r>
      <w:r w:rsidR="00C26951" w:rsidRPr="00A54222">
        <w:rPr>
          <w:rFonts w:ascii="Arial" w:eastAsia="Arial" w:hAnsi="Arial" w:cs="Arial"/>
          <w:sz w:val="20"/>
        </w:rPr>
        <w:t xml:space="preserve"> kojim je svaki ispitanik osobno evaluirao kvalitetu života u pogledu svog zdravlja, svakodnevnih aktivnosti i osobnog zadovoljstva, zabilježena je niža kvaliteta života pušača u odnosu na nepušače a kvaliteta života negativno je povezana s pušenjem (čak i pasivnim),  dok magnituda ovisi o broju popušenih cigareta </w:t>
      </w:r>
      <w:r w:rsidR="00B67FA8">
        <w:rPr>
          <w:rFonts w:ascii="Arial" w:eastAsia="Arial" w:hAnsi="Arial" w:cs="Arial"/>
          <w:sz w:val="20"/>
        </w:rPr>
        <w:fldChar w:fldCharType="begin" w:fldLock="1"/>
      </w:r>
      <w:r w:rsidR="007508FC">
        <w:rPr>
          <w:rFonts w:ascii="Arial" w:eastAsia="Arial" w:hAnsi="Arial" w:cs="Arial"/>
          <w:sz w:val="20"/>
        </w:rPr>
        <w:instrText xml:space="preserve"> ADDIN ZOTERO_ITEM CSL_CITATION {"citationID":"KWg7kbuu","properties":{"formattedCitation":"(2)","plainCitation":"(2)","noteIndex":0},"citationItems":[{"id":"YlNUCLkK/XHlcX8w2","uris":["http://www.mendeley.com/documents/?uuid=e7353da6-ef0d-363d-b80b-4538c8d7676a"],"uri":["http://www.mendeley.com/documents/?uuid=e7353da6-ef0d-363d-b80b-4538c8d7676a"],"itemData":{"DOI":"10.1111/j.1521-0391.2014.12148.x","abstract":"Background and Objectives: Smoking tobacco is the leading cause of preventable illness in the United States and around the world. However, much remains unknown about the factors that motivate individuals to smoke. Quality of life (QoL) has become an important measure of outcomes across all medical specialties, in both research and clinical settings. To date, there has not been a critical review of the research relevant to QoL in smokers. In this review, we describe which scales are used to quantify the QoL of smokers, the relationship between smoking and QoL and the positive impact of smoking cessation. Methods: Fifty-four relevant studies are included in our review. Results: Low QoL and depression are associated with higher odds of smoking initiation and lower odds of successful smoking cessation. There is a negative relationship between smoking and QoL and the magnitude of this association is related to the number of cigarettes smoked. Secondhand smoke also appears to be negatively associated with QoL. Smoking cessation significantly improves QoL. These findings have been replicated across populations with diverse socioeconomic and cultural groups around the world. Discussion and Conclusions: QoL data promotes smokers and practitioners to become more sensitive to the sub-clinical adverse effects of cigarette smoking, thereby improving motivation to quit, cessation rates, and treatment outcomes. Scientific Significance: Understanding the relationship between QoL and tobacco smoking is important for patients, clinicians, and researchers. (Am J Addict 2014;23:540-562)","author":[{"dropping-particle":"","family":"Goldenberg","given":"Matthew","non-dropping-particle":"","parse-names":false,"suffix":""},{"dropping-particle":"","family":"Danovitch","given":"Itai","non-dropping-particle":"","parse-names":false,"suffix":""},{"dropping-particle":"","family":"Ishak","given":"Waguih William","non-dropping-particle":"","parse-names":false,"suffix":""}],"id":"ITEM-1","issued":{"date-parts":[["0"]]},"title":"Quality of Life and Smoking","type":"article-journal"}}],"schema":"https://github.com/citation-style-language/schema/raw/master/csl-citation.json"} </w:instrText>
      </w:r>
      <w:r w:rsidR="00B67FA8">
        <w:rPr>
          <w:rFonts w:ascii="Arial" w:eastAsia="Arial" w:hAnsi="Arial" w:cs="Arial"/>
          <w:sz w:val="20"/>
        </w:rPr>
        <w:fldChar w:fldCharType="separate"/>
      </w:r>
      <w:r w:rsidR="007508FC" w:rsidRPr="007508FC">
        <w:rPr>
          <w:rFonts w:ascii="Arial" w:hAnsi="Arial" w:cs="Arial"/>
          <w:sz w:val="20"/>
        </w:rPr>
        <w:t>(2)</w:t>
      </w:r>
      <w:r w:rsidR="00B67FA8">
        <w:rPr>
          <w:rFonts w:ascii="Arial" w:eastAsia="Arial" w:hAnsi="Arial" w:cs="Arial"/>
          <w:sz w:val="20"/>
        </w:rPr>
        <w:fldChar w:fldCharType="end"/>
      </w:r>
      <w:r w:rsidR="00B67FA8">
        <w:rPr>
          <w:rFonts w:ascii="Arial" w:eastAsia="Arial" w:hAnsi="Arial" w:cs="Arial"/>
          <w:sz w:val="20"/>
        </w:rPr>
        <w:t>.</w:t>
      </w:r>
    </w:p>
    <w:p w14:paraId="5DE5571F" w14:textId="5D7D126D" w:rsidR="00076856" w:rsidRPr="00A54222" w:rsidRDefault="00DE4299" w:rsidP="00756C58">
      <w:pPr>
        <w:spacing w:after="240" w:line="360" w:lineRule="auto"/>
        <w:jc w:val="both"/>
        <w:rPr>
          <w:rFonts w:ascii="Arial" w:eastAsia="Arial" w:hAnsi="Arial" w:cs="Arial"/>
          <w:sz w:val="20"/>
        </w:rPr>
      </w:pPr>
      <w:r w:rsidRPr="00A54222">
        <w:rPr>
          <w:rFonts w:ascii="Arial" w:eastAsia="Arial" w:hAnsi="Arial" w:cs="Arial"/>
          <w:sz w:val="20"/>
        </w:rPr>
        <w:t>Trenutno puši 1.3 milijarde ljudi. Od toga je čak 80% u zemljama sa srednjim do niskim dohotkom</w:t>
      </w:r>
      <w:r w:rsidR="00F60CE7">
        <w:rPr>
          <w:rFonts w:ascii="Arial" w:eastAsia="Arial" w:hAnsi="Arial" w:cs="Arial"/>
          <w:sz w:val="20"/>
        </w:rPr>
        <w:t xml:space="preserve"> </w:t>
      </w:r>
      <w:r w:rsidR="00F60CE7">
        <w:rPr>
          <w:rFonts w:ascii="Arial" w:eastAsia="Arial" w:hAnsi="Arial" w:cs="Arial"/>
          <w:sz w:val="20"/>
        </w:rPr>
        <w:fldChar w:fldCharType="begin" w:fldLock="1"/>
      </w:r>
      <w:r w:rsidR="007508FC">
        <w:rPr>
          <w:rFonts w:ascii="Arial" w:eastAsia="Arial" w:hAnsi="Arial" w:cs="Arial"/>
          <w:sz w:val="20"/>
        </w:rPr>
        <w:instrText xml:space="preserve"> ADDIN ZOTERO_ITEM CSL_CITATION {"citationID":"NXbCHS08","properties":{"formattedCitation":"(1)","plainCitation":"(1)","noteIndex":0},"citationItems":[{"id":"YlNUCLkK/uAtuLCYZ","uris":["http://www.mendeley.com/documents/?uuid=275b3889-c203-390c-bc42-a4a9c995a129"],"uri":["http://www.mendeley.com/documents/?uuid=275b3889-c203-390c-bc42-a4a9c995a129"],"itemData":{"URL":"https://www.who.int/news-room/fact-sheets/detail/tobacco","accessed":{"date-parts":[["2021","6","23"]]},"id":"ITEM-1","issued":{"date-parts":[["0"]]},"title":"Tobacco","type":"webpage"}}],"schema":"https://github.com/citation-style-language/schema/raw/master/csl-citation.json"} </w:instrText>
      </w:r>
      <w:r w:rsidR="00F60CE7">
        <w:rPr>
          <w:rFonts w:ascii="Arial" w:eastAsia="Arial" w:hAnsi="Arial" w:cs="Arial"/>
          <w:sz w:val="20"/>
        </w:rPr>
        <w:fldChar w:fldCharType="separate"/>
      </w:r>
      <w:r w:rsidR="007508FC" w:rsidRPr="007508FC">
        <w:rPr>
          <w:rFonts w:ascii="Arial" w:hAnsi="Arial" w:cs="Arial"/>
          <w:sz w:val="20"/>
        </w:rPr>
        <w:t>(1)</w:t>
      </w:r>
      <w:r w:rsidR="00F60CE7">
        <w:rPr>
          <w:rFonts w:ascii="Arial" w:eastAsia="Arial" w:hAnsi="Arial" w:cs="Arial"/>
          <w:sz w:val="20"/>
        </w:rPr>
        <w:fldChar w:fldCharType="end"/>
      </w:r>
      <w:r w:rsidRPr="00A54222">
        <w:rPr>
          <w:rFonts w:ascii="Arial" w:eastAsia="Arial" w:hAnsi="Arial" w:cs="Arial"/>
          <w:sz w:val="20"/>
        </w:rPr>
        <w:t xml:space="preserve">. U Sjedinjenim Američkim Državama posljednjih godina uspješno je smanjeno pušenje cigareta na 14% u odrasloj populaciji </w:t>
      </w:r>
      <w:r w:rsidR="00F60CE7">
        <w:rPr>
          <w:rFonts w:ascii="Arial" w:eastAsia="Arial" w:hAnsi="Arial" w:cs="Arial"/>
          <w:sz w:val="20"/>
        </w:rPr>
        <w:fldChar w:fldCharType="begin" w:fldLock="1"/>
      </w:r>
      <w:r w:rsidR="007508FC">
        <w:rPr>
          <w:rFonts w:ascii="Arial" w:eastAsia="Arial" w:hAnsi="Arial" w:cs="Arial"/>
          <w:sz w:val="20"/>
        </w:rPr>
        <w:instrText xml:space="preserve"> ADDIN ZOTERO_ITEM CSL_CITATION {"citationID":"XqFC9dME","properties":{"formattedCitation":"(7)","plainCitation":"(7)","noteIndex":0},"citationItems":[{"id":"YlNUCLkK/ZiKmIw9p","uris":["http://www.mendeley.com/documents/?uuid=8acbb29e-1984-3286-aeff-bf00bd927513"],"uri":["http://www.mendeley.com/documents/?uuid=8acbb29e-1984-3286-aeff-bf00bd927513"],"itemData":{"DOI":"10.15585/mmwr.mm6946a4","ISSN":"0149-2195","PMID":"33211681","abstract":"Despite significant declines in cigarette smoking among U.S. adults over the past five decades, progress has slowed in recent years, and the prevalence of use of other tobacco products such as cigars and smokeless tobacco has not changed. Additionally, the prevalence of use of emerging products, including electronic cigarettes (e-cigarettes), has rapidly increased. This report provides the most recent national estimates of tobacco use among adults aged ≥18 years, using data from the 2012-2013 National Adult Tobacco Survey (NATS). The findings indicate that 21.3% of U.S. adults used a tobacco product every day or some days, and 25.2% used a tobacco product every day, some days, or rarely. Population-level interventions focused on the diversity of tobacco product use, including tobacco price increases, high-impact antitobacco mass media campaigns, comprehensive smoke-free laws, and enhanced access to help quitting, in conjunction with Food and Drug Administration (FDA) regulation of tobacco products, are critical to reducing tobacco-related diseases and deaths in the United States.","author":[{"dropping-particle":"","family":"Cornelius","given":"Monica E.","non-dropping-particle":"","parse-names":false,"suffix":""},{"dropping-particle":"","family":"Wang","given":"Teresa W.","non-dropping-particle":"","parse-names":false,"suffix":""},{"dropping-particle":"","family":"Jamal","given":"Ahmed","non-dropping-particle":"","parse-names":false,"suffix":""},{"dropping-particle":"","family":"Loretan","given":"Caitlin G.","non-dropping-particle":"","parse-names":false,"suffix":""},{"dropping-particle":"","family":"Neff","given":"Linda J.","non-dropping-particle":"","parse-names":false,"suffix":""}],"container-title":"MMWR. Morbidity and Mortality Weekly Report","id":"ITEM-1","issue":"46","issued":{"date-parts":[["2020","11","20"]]},"page":"1736-1742","publisher":"Centers for Disease Control MMWR Office","title":"Tobacco Product Use Among Adults — United States, 2019","type":"article-journal","volume":"69"}}],"schema":"https://github.com/citation-style-language/schema/raw/master/csl-citation.json"} </w:instrText>
      </w:r>
      <w:r w:rsidR="00F60CE7">
        <w:rPr>
          <w:rFonts w:ascii="Arial" w:eastAsia="Arial" w:hAnsi="Arial" w:cs="Arial"/>
          <w:sz w:val="20"/>
        </w:rPr>
        <w:fldChar w:fldCharType="separate"/>
      </w:r>
      <w:r w:rsidR="007508FC" w:rsidRPr="007508FC">
        <w:rPr>
          <w:rFonts w:ascii="Arial" w:hAnsi="Arial" w:cs="Arial"/>
          <w:sz w:val="20"/>
        </w:rPr>
        <w:t>(7)</w:t>
      </w:r>
      <w:r w:rsidR="00F60CE7">
        <w:rPr>
          <w:rFonts w:ascii="Arial" w:eastAsia="Arial" w:hAnsi="Arial" w:cs="Arial"/>
          <w:sz w:val="20"/>
        </w:rPr>
        <w:fldChar w:fldCharType="end"/>
      </w:r>
      <w:r w:rsidRPr="00A54222">
        <w:rPr>
          <w:rFonts w:ascii="Arial" w:eastAsia="Arial" w:hAnsi="Arial" w:cs="Arial"/>
          <w:sz w:val="20"/>
        </w:rPr>
        <w:t xml:space="preserve">, dok Europa i dalje ima jednu od najviših prevalencija u svijetu od 28% uz također </w:t>
      </w:r>
      <w:r w:rsidRPr="00A54222">
        <w:rPr>
          <w:rFonts w:ascii="Arial" w:eastAsia="Arial" w:hAnsi="Arial" w:cs="Arial"/>
          <w:sz w:val="20"/>
        </w:rPr>
        <w:lastRenderedPageBreak/>
        <w:t xml:space="preserve">visoku stopu preuranjene smrti, čak 16% osoba starijih od 30 godina </w:t>
      </w:r>
      <w:r w:rsidR="00F60CE7">
        <w:rPr>
          <w:rFonts w:ascii="Arial" w:eastAsia="Arial" w:hAnsi="Arial" w:cs="Arial"/>
          <w:sz w:val="20"/>
        </w:rPr>
        <w:fldChar w:fldCharType="begin" w:fldLock="1"/>
      </w:r>
      <w:r w:rsidR="007508FC">
        <w:rPr>
          <w:rFonts w:ascii="Arial" w:eastAsia="Arial" w:hAnsi="Arial" w:cs="Arial"/>
          <w:sz w:val="20"/>
        </w:rPr>
        <w:instrText xml:space="preserve"> ADDIN ZOTERO_ITEM CSL_CITATION {"citationID":"gdVjmKql","properties":{"formattedCitation":"(8)","plainCitation":"(8)","noteIndex":0},"citationItems":[{"id":"YlNUCLkK/MzjAxX7i","uris":["http://www.mendeley.com/documents/?uuid=be7368ec-32bb-3873-ab38-01afc73ad4d0"],"uri":["http://www.mendeley.com/documents/?uuid=be7368ec-32bb-3873-ab38-01afc73ad4d0"],"itemData":{"URL":"https://www.euro.who.int/en/health-topics/disease-prevention/tobacco/data-and-statistics","accessed":{"date-parts":[["2021","6","23"]]},"id":"ITEM-1","issued":{"date-parts":[["0"]]},"title":"WHO/Europe | Tobacco - Data and statistics","type":"webpage"}}],"schema":"https://github.com/citation-style-language/schema/raw/master/csl-citation.json"} </w:instrText>
      </w:r>
      <w:r w:rsidR="00F60CE7">
        <w:rPr>
          <w:rFonts w:ascii="Arial" w:eastAsia="Arial" w:hAnsi="Arial" w:cs="Arial"/>
          <w:sz w:val="20"/>
        </w:rPr>
        <w:fldChar w:fldCharType="separate"/>
      </w:r>
      <w:r w:rsidR="007508FC" w:rsidRPr="007508FC">
        <w:rPr>
          <w:rFonts w:ascii="Arial" w:hAnsi="Arial" w:cs="Arial"/>
          <w:sz w:val="20"/>
        </w:rPr>
        <w:t>(8)</w:t>
      </w:r>
      <w:r w:rsidR="00F60CE7">
        <w:rPr>
          <w:rFonts w:ascii="Arial" w:eastAsia="Arial" w:hAnsi="Arial" w:cs="Arial"/>
          <w:sz w:val="20"/>
        </w:rPr>
        <w:fldChar w:fldCharType="end"/>
      </w:r>
      <w:r w:rsidRPr="00A54222">
        <w:rPr>
          <w:rFonts w:ascii="Arial" w:eastAsia="Arial" w:hAnsi="Arial" w:cs="Arial"/>
          <w:sz w:val="20"/>
        </w:rPr>
        <w:t xml:space="preserve">. Hrvatska ima nešto višu prevalenciju pušača naspram europskog prosjeka od 31.1%. Od toga su 27.5% svakodnevni pušači, a 3.6% povremeni pušači </w:t>
      </w:r>
      <w:r w:rsidR="00F60CE7">
        <w:rPr>
          <w:rFonts w:ascii="Arial" w:eastAsia="Arial" w:hAnsi="Arial" w:cs="Arial"/>
          <w:sz w:val="20"/>
        </w:rPr>
        <w:fldChar w:fldCharType="begin" w:fldLock="1"/>
      </w:r>
      <w:r w:rsidR="007508FC">
        <w:rPr>
          <w:rFonts w:ascii="Arial" w:eastAsia="Arial" w:hAnsi="Arial" w:cs="Arial"/>
          <w:sz w:val="20"/>
        </w:rPr>
        <w:instrText xml:space="preserve"> ADDIN ZOTERO_ITEM CSL_CITATION {"citationID":"NVWlcW6x","properties":{"formattedCitation":"(9)","plainCitation":"(9)","noteIndex":0},"citationItems":[{"id":"YlNUCLkK/JetiztP2","uris":["http://www.mendeley.com/documents/?uuid=f1ae2ed8-d25c-4874-87c0-e6b8ec8b80cb"],"uri":["http://www.mendeley.com/documents/?uuid=f1ae2ed8-d25c-4874-87c0-e6b8ec8b80cb"],"itemData":{"author":[{"dropping-particle":"","family":"Questions","given":"Tobacco","non-dropping-particle":"","parse-names":false,"suffix":""}],"id":"ITEM-1","issued":{"date-parts":[["0"]]},"title":"Istraživanje O Uporabi","type":"article-journal"}}],"schema":"https://github.com/citation-style-language/schema/raw/master/csl-citation.json"} </w:instrText>
      </w:r>
      <w:r w:rsidR="00F60CE7">
        <w:rPr>
          <w:rFonts w:ascii="Arial" w:eastAsia="Arial" w:hAnsi="Arial" w:cs="Arial"/>
          <w:sz w:val="20"/>
        </w:rPr>
        <w:fldChar w:fldCharType="separate"/>
      </w:r>
      <w:r w:rsidR="007508FC" w:rsidRPr="007508FC">
        <w:rPr>
          <w:rFonts w:ascii="Arial" w:hAnsi="Arial" w:cs="Arial"/>
          <w:sz w:val="20"/>
        </w:rPr>
        <w:t>(9)</w:t>
      </w:r>
      <w:r w:rsidR="00F60CE7">
        <w:rPr>
          <w:rFonts w:ascii="Arial" w:eastAsia="Arial" w:hAnsi="Arial" w:cs="Arial"/>
          <w:sz w:val="20"/>
        </w:rPr>
        <w:fldChar w:fldCharType="end"/>
      </w:r>
      <w:r w:rsidRPr="00A54222">
        <w:rPr>
          <w:rFonts w:ascii="Arial" w:eastAsia="Arial" w:hAnsi="Arial" w:cs="Arial"/>
          <w:sz w:val="20"/>
        </w:rPr>
        <w:t xml:space="preserve">. Iako su Hrvati i dalje iznad europskog prosjeka, istraživanje iz 2012. pokazuje smanjivanje trenda pušenja </w:t>
      </w:r>
      <w:r w:rsidR="00F60CE7">
        <w:rPr>
          <w:rFonts w:ascii="Arial" w:eastAsia="Arial" w:hAnsi="Arial" w:cs="Arial"/>
          <w:sz w:val="20"/>
        </w:rPr>
        <w:fldChar w:fldCharType="begin" w:fldLock="1"/>
      </w:r>
      <w:r w:rsidR="007508FC">
        <w:rPr>
          <w:rFonts w:ascii="Arial" w:eastAsia="Arial" w:hAnsi="Arial" w:cs="Arial"/>
          <w:sz w:val="20"/>
        </w:rPr>
        <w:instrText xml:space="preserve"> ADDIN ZOTERO_ITEM CSL_CITATION {"citationID":"w05hth3F","properties":{"formattedCitation":"(5)","plainCitation":"(5)","noteIndex":0},"citationItems":[{"id":"YlNUCLkK/6EzqGIeH","uris":["http://www.mendeley.com/documents/?uuid=713c0cd7-031e-32e5-be1a-b054fe9af039"],"uri":["http://www.mendeley.com/documents/?uuid=713c0cd7-031e-32e5-be1a-b054fe9af039"],"itemData":{"DOI":"10.21101/cejph.a3702","ISSN":"12107778","PMID":"22571009","abstract":"Tobacco is the largest cause of morbidity and mortality. The aim of this study is to analyse several health and economically related indicators of tobacco consumption: smoking prevalence, standardized death rates (SDRs) from lung cancer and the proportion of GDP spent on tobacco in Croatia and other transitional countries--the Czech Republic, Slovakia, Poland, Hungary, Slovenia, Romania, and Bulgaria. The overall smoking prevalence in Croatia decreased by 5.2% during 1994-2005, more among females (-9.9%) than males (-0.3%). There is no significant difference in the smoking prevalence between Croatia (27.4%) and other countries. However, 33.8% of Croatian males smoked during 2002-2005, more than in Romania and the Czech Republic, and less than in Hungary and Poland. The prevalence of female smoking (21.7%) in Croatia is similar to the female smoking prevalence in Poland, the Czech Republic, and Hungary, but male smoking is predominant in all countries. The proportion of smokers among youth is above 20% and it is the highest in the Czech Republic (29.7%), followed by Hungary (26.7%), Slovenia (24.9%), Croatia (24.1%), and Poland (21.5%). The proportion of smokers among girls is higher than among boys in Slovenia, Hungary, the Czech Republic, and Croatia, contrary to Slovakia, Bulgaria, and Poland where boys smoke slightly more. There is no significant difference between the prevalence of smoking among girls in Croatia and Bulgaria, Poland, the Czech Republic, Hungary, Slovenia, and Slovakia. According to the SDR from lung cancer in males (70.3/100,000), Croatia is ranked high assuming the 3rd place, after Hungary (99.7) and Poland (72.0). With a SDR of 15.9/100,000 for females, Croatia is ranked slightly better--5th place. Tobacco consumption continues to be a major public health problem in transitional countries. Croatia conducted several campaigns and programmes in the past. However, results reveal that current anti-tobacco strategies are ineffective in reducing the smoking prevalence among men and youth. Men do not smoke less than a decade ago and, despite the observed decline among women, increasing trends are observed among teenage girls. Croatia should apply a comprehensive approach that would include raising awareness of health risks, restriction of smoking in public places, higher taxing, implementing stricter bans on advertising and promotion of tobacco as well as supporting smoking cessation. This last measure is believed to bring about some res…","author":[{"dropping-particle":"","family":"Padjen","given":"Ivan","non-dropping-particle":"","parse-names":false,"suffix":""},{"dropping-particle":"","family":"Dabić","given":"Marina","non-dropping-particle":"","parse-names":false,"suffix":""},{"dropping-particle":"","family":"Glivetić","given":"Tatjana","non-dropping-particle":"","parse-names":false,"suffix":""},{"dropping-particle":"","family":"Biloglav","given":"Zrinka","non-dropping-particle":"","parse-names":false,"suffix":""},{"dropping-particle":"","family":"Biocina-Lukendas","given":"Dolores","non-dropping-particle":"","parse-names":false,"suffix":""},{"dropping-particle":"","family":"Lukenda","given":"Josip","non-dropping-particle":"","parse-names":false,"suffix":""}],"container-title":"Central European journal of public health","id":"ITEM-1","issue":"1","issued":{"date-parts":[["2012"]]},"page":"5-10","publisher":"Cent Eur J Public Health","title":"The analysis of tobacco consumption in Croatia--are we successfully facing the epidemic?","type":"article-journal","volume":"20"}}],"schema":"https://github.com/citation-style-language/schema/raw/master/csl-citation.json"} </w:instrText>
      </w:r>
      <w:r w:rsidR="00F60CE7">
        <w:rPr>
          <w:rFonts w:ascii="Arial" w:eastAsia="Arial" w:hAnsi="Arial" w:cs="Arial"/>
          <w:sz w:val="20"/>
        </w:rPr>
        <w:fldChar w:fldCharType="separate"/>
      </w:r>
      <w:r w:rsidR="007508FC" w:rsidRPr="007508FC">
        <w:rPr>
          <w:rFonts w:ascii="Arial" w:hAnsi="Arial" w:cs="Arial"/>
          <w:sz w:val="20"/>
        </w:rPr>
        <w:t>(5)</w:t>
      </w:r>
      <w:r w:rsidR="00F60CE7">
        <w:rPr>
          <w:rFonts w:ascii="Arial" w:eastAsia="Arial" w:hAnsi="Arial" w:cs="Arial"/>
          <w:sz w:val="20"/>
        </w:rPr>
        <w:fldChar w:fldCharType="end"/>
      </w:r>
      <w:r w:rsidRPr="00A54222">
        <w:rPr>
          <w:rFonts w:ascii="Arial" w:eastAsia="Arial" w:hAnsi="Arial" w:cs="Arial"/>
          <w:sz w:val="20"/>
        </w:rPr>
        <w:t xml:space="preserve">. Još 2007. godine, 36% stanovništva Hrvatske bili su pušači u usporedbi s europskim prosjekom koji je tada iznosio 33%. Podatak koji zabrinjava je da čak 3% pušača spada u kategoriju ''teških pušača'' koji konzumiraju više od 35 cigareta dnevno. Prihvaćenost pušenja je u Hrvatskoj mnogo veća, sa samo 15% onih koje smeta dim cigarete, te njih 29% koje ne smeta nikada. Čak 57% pušača ne bi nikada zamolilo drugoga da ugasi cigaretu. Također, uobičajeno je pušiti kod kuće, sa 87% pušača koji puše u svom domu </w:t>
      </w:r>
      <w:r w:rsidR="00F60CE7">
        <w:rPr>
          <w:rFonts w:ascii="Arial" w:eastAsia="Arial" w:hAnsi="Arial" w:cs="Arial"/>
          <w:sz w:val="20"/>
        </w:rPr>
        <w:fldChar w:fldCharType="begin" w:fldLock="1"/>
      </w:r>
      <w:r w:rsidR="007508FC">
        <w:rPr>
          <w:rFonts w:ascii="Arial" w:eastAsia="Arial" w:hAnsi="Arial" w:cs="Arial"/>
          <w:sz w:val="20"/>
        </w:rPr>
        <w:instrText xml:space="preserve"> ADDIN ZOTERO_ITEM CSL_CITATION {"citationID":"LCO6Uhg5","properties":{"formattedCitation":"(10)","plainCitation":"(10)","noteIndex":0},"citationItems":[{"id":"YlNUCLkK/c0m5gW1h","uris":["http://www.mendeley.com/documents/?uuid=2dd566a8-fb97-3cbb-bcba-a3e0dfd4c851"],"uri":["http://www.mendeley.com/documents/?uuid=2dd566a8-fb97-3cbb-bcba-a3e0dfd4c851"],"itemData":{"DOI":"10.21101/cejph.a3430","ISSN":"12107778","PMID":"17958203","abstract":"In recent years, tobacco use and its control have become increasingly the focus of attention of policy-makers and researchers due to ill health effects of smoking on both smokers and non-smokers. This paper contributes to a neglected research area by focusing on tobacco use and its regulation in Croatia. In particular, this study uses recent survey information to analyze the tobacco use patterns in Croatia and influence of tobacco campaigns and to compare these patterns to other EU candidate nations and the EU as a whole. Overall the results show that in some aspects of tobacco use and regulation Croatia fares better than other European countries, while in other aspects it is somewhat lagging. For instance, on the positive side, more Croat smokers and ex-smokers were exposed to anti-smoking campaigns than smokers in other countries. However, the effectiveness of such exposure is modest in terms of the percentage of smokers who wanted to quit smoking and the relatively low share of population which claims protection from second-hand smoke. Croatia also has to further strengthen the country's compliance with international tobacco control mandates in terms of enforcement of existing tobacco consumption restrictions. Besides shedding light on the effectiveness of tobacco control policies, the findings of this study have some implications for Croatia's accession to the EU.","author":[{"dropping-particle":"","family":"Goel","given":"Rajeev K.","non-dropping-particle":"","parse-names":false,"suffix":""},{"dropping-particle":"","family":"Budak","given":"Jelena","non-dropping-particle":"","parse-names":false,"suffix":""}],"container-title":"Central European Journal of Public Health","id":"ITEM-1","issue":"3","issued":{"date-parts":[["2007"]]},"page":"110-115","publisher":"Czech National Institute of Public Health","title":"Smoking patterns in Croatia and comparisons with European nations","type":"article-journal","volume":"15"}}],"schema":"https://github.com/citation-style-language/schema/raw/master/csl-citation.json"} </w:instrText>
      </w:r>
      <w:r w:rsidR="00F60CE7">
        <w:rPr>
          <w:rFonts w:ascii="Arial" w:eastAsia="Arial" w:hAnsi="Arial" w:cs="Arial"/>
          <w:sz w:val="20"/>
        </w:rPr>
        <w:fldChar w:fldCharType="separate"/>
      </w:r>
      <w:r w:rsidR="007508FC" w:rsidRPr="007508FC">
        <w:rPr>
          <w:rFonts w:ascii="Arial" w:hAnsi="Arial" w:cs="Arial"/>
          <w:sz w:val="20"/>
        </w:rPr>
        <w:t>(10)</w:t>
      </w:r>
      <w:r w:rsidR="00F60CE7">
        <w:rPr>
          <w:rFonts w:ascii="Arial" w:eastAsia="Arial" w:hAnsi="Arial" w:cs="Arial"/>
          <w:sz w:val="20"/>
        </w:rPr>
        <w:fldChar w:fldCharType="end"/>
      </w:r>
      <w:r w:rsidRPr="00A54222">
        <w:rPr>
          <w:rFonts w:ascii="Arial" w:eastAsia="Arial" w:hAnsi="Arial" w:cs="Arial"/>
          <w:sz w:val="20"/>
        </w:rPr>
        <w:t>. Svi ovi podaci pokazuju nam nužnost javnozdravstvene intervencije u Hrvatskoj, zbog opće prihvaćenosti cigareta te zanemarivanja alarmantnih efekata pušenja na zdravlje.</w:t>
      </w:r>
    </w:p>
    <w:p w14:paraId="424C30F4" w14:textId="25DA2F27" w:rsidR="00076856" w:rsidRPr="00A54222" w:rsidRDefault="00DE4299" w:rsidP="00756C58">
      <w:pPr>
        <w:spacing w:before="240" w:after="240" w:line="360" w:lineRule="auto"/>
        <w:jc w:val="both"/>
        <w:rPr>
          <w:rFonts w:ascii="Arial" w:eastAsia="Arial" w:hAnsi="Arial" w:cs="Arial"/>
          <w:sz w:val="20"/>
        </w:rPr>
      </w:pPr>
      <w:r w:rsidRPr="00A54222">
        <w:rPr>
          <w:rFonts w:ascii="Arial" w:eastAsia="Arial" w:hAnsi="Arial" w:cs="Arial"/>
          <w:sz w:val="20"/>
        </w:rPr>
        <w:t xml:space="preserve">Brojna istraživanja provedena u adolescentnoj i odrasloj populaciji pokazuju da velika većina pušača svoj prvi kontakt s cigaretom ostvari već u srednjoškolskoj dobi. Većina (59.9%) Talijana počela je pušiti prije 18. godine, a 33.6% prije 16. godine, a 58.7% svakodnevnih pušača u Turskoj mlađe je od 18 godina </w:t>
      </w:r>
      <w:r w:rsidR="00F60CE7">
        <w:rPr>
          <w:rFonts w:ascii="Arial" w:eastAsia="Arial" w:hAnsi="Arial" w:cs="Arial"/>
          <w:sz w:val="20"/>
        </w:rPr>
        <w:fldChar w:fldCharType="begin" w:fldLock="1"/>
      </w:r>
      <w:r w:rsidR="007508FC">
        <w:rPr>
          <w:rFonts w:ascii="Arial" w:eastAsia="Arial" w:hAnsi="Arial" w:cs="Arial"/>
          <w:sz w:val="20"/>
        </w:rPr>
        <w:instrText xml:space="preserve"> ADDIN ZOTERO_ITEM CSL_CITATION {"citationID":"O1DLnAlR","properties":{"formattedCitation":"(11)","plainCitation":"(11)","noteIndex":0},"citationItems":[{"id":"YlNUCLkK/RhHEe1Tj","uris":["http://www.mendeley.com/documents/?uuid=a28d2415-c903-3719-bf59-0dd8ee77bff8"],"uri":["http://www.mendeley.com/documents/?uuid=a28d2415-c903-3719-bf59-0dd8ee77bff8"],"itemData":{"DOI":"10.5578/tt.20925","id":"ITEM-1","issued":{"date-parts":[["0"]]},"title":"217 SUMMARY Behaviours and opinions of adolescent students on smoking","type":"article-journal"}}],"schema":"https://github.com/citation-style-language/schema/raw/master/csl-citation.json"} </w:instrText>
      </w:r>
      <w:r w:rsidR="00F60CE7">
        <w:rPr>
          <w:rFonts w:ascii="Arial" w:eastAsia="Arial" w:hAnsi="Arial" w:cs="Arial"/>
          <w:sz w:val="20"/>
        </w:rPr>
        <w:fldChar w:fldCharType="separate"/>
      </w:r>
      <w:r w:rsidR="007508FC" w:rsidRPr="007508FC">
        <w:rPr>
          <w:rFonts w:ascii="Arial" w:hAnsi="Arial" w:cs="Arial"/>
          <w:sz w:val="20"/>
        </w:rPr>
        <w:t>(11)</w:t>
      </w:r>
      <w:r w:rsidR="00F60CE7">
        <w:rPr>
          <w:rFonts w:ascii="Arial" w:eastAsia="Arial" w:hAnsi="Arial" w:cs="Arial"/>
          <w:sz w:val="20"/>
        </w:rPr>
        <w:fldChar w:fldCharType="end"/>
      </w:r>
      <w:r w:rsidRPr="00A54222">
        <w:rPr>
          <w:rFonts w:ascii="Arial" w:eastAsia="Arial" w:hAnsi="Arial" w:cs="Arial"/>
          <w:sz w:val="20"/>
        </w:rPr>
        <w:t xml:space="preserve">. Utjecaj vršnjaka daleko je najvažniji razlog zbog kojeg srednjoškolci počinju pušiti; 61.1% Talijana koji su ikada pušili cigarete navodi kako su počeli zbog utjecaja prijatelja </w:t>
      </w:r>
      <w:r w:rsidR="00F60CE7">
        <w:rPr>
          <w:rFonts w:ascii="Arial" w:eastAsia="Arial" w:hAnsi="Arial" w:cs="Arial"/>
          <w:sz w:val="20"/>
        </w:rPr>
        <w:fldChar w:fldCharType="begin" w:fldLock="1"/>
      </w:r>
      <w:r w:rsidR="007508FC">
        <w:rPr>
          <w:rFonts w:ascii="Arial" w:eastAsia="Arial" w:hAnsi="Arial" w:cs="Arial"/>
          <w:sz w:val="20"/>
        </w:rPr>
        <w:instrText xml:space="preserve"> ADDIN ZOTERO_ITEM CSL_CITATION {"citationID":"oeRzt8ah","properties":{"formattedCitation":"(12)","plainCitation":"(12)","noteIndex":0},"citationItems":[{"id":"YlNUCLkK/hGCRb8cX","uris":["http://www.mendeley.com/documents/?uuid=79f366e1-cfcf-4d4e-9cab-b87be8aa6b52"],"uri":["http://www.mendeley.com/documents/?uuid=79f366e1-cfcf-4d4e-9cab-b87be8aa6b52"],"itemData":{"DOI":"10.1097/CEJ.0b013e32835645fa","ISSN":"09598278","PMID":"22797676","abstract":"Most studies investigating the reasons for smoking initiation are based on adolescents or young individuals. We considered the issue in a large dataset on the general Italian population. Six population-based surveys on smoking were conducted annually from 2005 to 2010 on representative samples of Italian individuals aged 15 years or over, involving more than 3000 individuals each year. A specific question on the main reason to start smoking was asked to 7469 ever smokers. Overall, 59.9% of ever smokers started smoking before 18 years of age and 33.6% started smoking before 16 years of age. Among ever smokers, 61.1% reported having started smoking because of the influence of friends, 15.6% for enjoyment and satisfaction, 9.0% to feel mature and independent, 6.6% because of the influence of partner/family, 2.5% because of stress, 1.9% to feel more secure and 1.8% for curiosity. The finding that the majority of Italian men and women - particularly those who started smoking at a young age - started smoking because of the influence of friends suggests that antismoking campaigns should consider social influence, resistance and the dimension of self-esteem. An improvement in the legislation prohibiting the purchase of tobacco products by minors aged less than 18 years and a smoking ban in school courtyards are urgently required in Italy. © 2013 Wolters Kluwer Health | Lippincott Williams &amp; Wilkins.","author":[{"dropping-particle":"","family":"Muttarak","given":"Raya","non-dropping-particle":"","parse-names":false,"suffix":""},{"dropping-particle":"","family":"Gallus","given":"Silvano","non-dropping-particle":"","parse-names":false,"suffix":""},{"dropping-particle":"","family":"Franchi","given":"Matteo","non-dropping-particle":"","parse-names":false,"suffix":""},{"dropping-particle":"","family":"Faggiano","given":"Fabrizio","non-dropping-particle":"","parse-names":false,"suffix":""},{"dropping-particle":"","family":"Pacifici","given":"Roberta","non-dropping-particle":"","parse-names":false,"suffix":""},{"dropping-particle":"","family":"Colombo","given":"Paolo","non-dropping-particle":"","parse-names":false,"suffix":""},{"dropping-particle":"","family":"Vecchia","given":"Carlo","non-dropping-particle":"La","parse-names":false,"suffix":""}],"container-title":"European Journal of Cancer Prevention","id":"ITEM-1","issue":"2","issued":{"date-parts":[["2013"]]},"page":"181-186","title":"Why do smokers start?","type":"article-journal","volume":"22"}}],"schema":"https://github.com/citation-style-language/schema/raw/master/csl-citation.json"} </w:instrText>
      </w:r>
      <w:r w:rsidR="00F60CE7">
        <w:rPr>
          <w:rFonts w:ascii="Arial" w:eastAsia="Arial" w:hAnsi="Arial" w:cs="Arial"/>
          <w:sz w:val="20"/>
        </w:rPr>
        <w:fldChar w:fldCharType="separate"/>
      </w:r>
      <w:r w:rsidR="007508FC" w:rsidRPr="007508FC">
        <w:rPr>
          <w:rFonts w:ascii="Arial" w:hAnsi="Arial" w:cs="Arial"/>
          <w:sz w:val="20"/>
        </w:rPr>
        <w:t>(12)</w:t>
      </w:r>
      <w:r w:rsidR="00F60CE7">
        <w:rPr>
          <w:rFonts w:ascii="Arial" w:eastAsia="Arial" w:hAnsi="Arial" w:cs="Arial"/>
          <w:sz w:val="20"/>
        </w:rPr>
        <w:fldChar w:fldCharType="end"/>
      </w:r>
      <w:r w:rsidRPr="00A54222">
        <w:rPr>
          <w:rFonts w:ascii="Arial" w:eastAsia="Arial" w:hAnsi="Arial" w:cs="Arial"/>
          <w:sz w:val="20"/>
        </w:rPr>
        <w:t xml:space="preserve">. </w:t>
      </w:r>
    </w:p>
    <w:p w14:paraId="7FFEE1AB" w14:textId="17375B4F" w:rsidR="00076856" w:rsidRPr="00A54222" w:rsidRDefault="00DE4299" w:rsidP="00756C58">
      <w:pPr>
        <w:spacing w:before="240" w:after="240" w:line="360" w:lineRule="auto"/>
        <w:jc w:val="both"/>
        <w:rPr>
          <w:rFonts w:ascii="Arial" w:eastAsia="Arial" w:hAnsi="Arial" w:cs="Arial"/>
          <w:sz w:val="20"/>
        </w:rPr>
      </w:pPr>
      <w:r w:rsidRPr="00A54222">
        <w:rPr>
          <w:rFonts w:ascii="Arial" w:eastAsia="Arial" w:hAnsi="Arial" w:cs="Arial"/>
          <w:sz w:val="20"/>
        </w:rPr>
        <w:t xml:space="preserve">European School Survey Project on Alcohol and Other Drugs (ESPAD) istraživanje je koje prikuplja podatke o prevalenciji upotrebe sredstava ovisnosti među sredjnoškolcima u dobi između 15 i 16 godina iz 35 država još od 1995. godine. Podaci iz 2019. godine pokazuju da je prosječno 41% srednjoškolaca u ESPAD državama ikada pušilo cigarete (raspon od 15% u Islandu do 58% u Slovačkoj). U Hrvatskoj je taj postotak bio natprosječno visok, 54%. Također je utvrđeno da je prosječno 20% srednjoškolaca pušilo u zadnjih 30 dana (raspon od 5.1% u Islandu do 32% u Italiji i Bugarskoj). Nađene su i statistički značajne razlike među spolovima u brojnim državama; djevojke puše više u Bugarskoj, Slovačkoj i Španjolskoj, dok mladići više puše u Gruziji, Ukrajini, Kosovu te na Farskim otocima. Te su se spolne razlike bitno smanjile od 1995. godine otkad se ESPAD istraživanje provodi. Također je zabilježen trend stabilnog pada prevalencije pušenja među srednjoškolcima od 1995. do 2019. Tek je u prikupljanju podataka iz 2019. godine u obzir uzeta upotreba elektroničkih cigareta. Kada se i one uključe u statistiku pušenja, prevalencija pušenja je za 7% veća nego 2015. te se približava trendu iz 2011., ali budući da u 2011. i 2015. godini podaci o upotrebi elektroničkih cigareta nisu uzeti u obzir, ova usporedba nije prikladna. Prosječno je 40% srednjoškolaca u ESPAD državama ikada pušilo elektroničke cigarete (raspon između 18% i 65%), a u zadnjih 30 dana prosječno je 14% srednjoškolaca pušilo elektroničke cigarete (raspon između 5.4% i 41%, u Hrvatskoj 12%). U Hrvatskoj su prevalencije u objema kategorijama bliske ESPAD prosjeku; 44% za srednjoškolce koji su ikada pušili elektroničke cigarete te 12% za srednjoškolce koji su u zadnjih 30 dana pušili elektroničke cigarete </w:t>
      </w:r>
      <w:r w:rsidR="00F60CE7">
        <w:rPr>
          <w:rFonts w:ascii="Arial" w:eastAsia="Arial" w:hAnsi="Arial" w:cs="Arial"/>
          <w:sz w:val="20"/>
        </w:rPr>
        <w:fldChar w:fldCharType="begin" w:fldLock="1"/>
      </w:r>
      <w:r w:rsidR="007508FC">
        <w:rPr>
          <w:rFonts w:ascii="Arial" w:eastAsia="Arial" w:hAnsi="Arial" w:cs="Arial"/>
          <w:sz w:val="20"/>
        </w:rPr>
        <w:instrText xml:space="preserve"> ADDIN ZOTERO_ITEM CSL_CITATION {"citationID":"DdqgrrgO","properties":{"formattedCitation":"(13)","plainCitation":"(13)","noteIndex":0},"citationItems":[{"id":"YlNUCLkK/XeuWYVm9","uris":["http://www.mendeley.com/documents/?uuid=6c1ace35-8a63-4b2c-aec3-4da9e4dbe09c"],"uri":["http://www.mendeley.com/documents/?uuid=6c1ace35-8a63-4b2c-aec3-4da9e4dbe09c"],"itemData":{"ISBN":"9789294975478","author":[{"dropping-particle":"","family":"Sabrina Molinaro, Julian Vicente, Elisa Benedetti, Sonia Cerrai, Emanuela Colasante, Sharon Arpa, Pavla Chomynová, Ludwig Kraus, Karin Monshouwer, Stanislas Spilka, Ársæll Már Arnarsson, Olga Balakireva, Begoña Brime Beteta, Elin Kristin Bye, Anina Chilev","given":"Loredana Fortunato and Kateřina Škařupová","non-dropping-particle":"","parse-names":false,"suffix":""}],"id":"ITEM-1","issued":{"date-parts":[["2019"]]},"number-of-pages":"1-134","title":"ESPAD Report","type":"book"}}],"schema":"https://github.com/citation-style-language/schema/raw/master/csl-citation.json"} </w:instrText>
      </w:r>
      <w:r w:rsidR="00F60CE7">
        <w:rPr>
          <w:rFonts w:ascii="Arial" w:eastAsia="Arial" w:hAnsi="Arial" w:cs="Arial"/>
          <w:sz w:val="20"/>
        </w:rPr>
        <w:fldChar w:fldCharType="separate"/>
      </w:r>
      <w:r w:rsidR="007508FC" w:rsidRPr="007508FC">
        <w:rPr>
          <w:rFonts w:ascii="Arial" w:hAnsi="Arial" w:cs="Arial"/>
          <w:sz w:val="20"/>
        </w:rPr>
        <w:t>(13)</w:t>
      </w:r>
      <w:r w:rsidR="00F60CE7">
        <w:rPr>
          <w:rFonts w:ascii="Arial" w:eastAsia="Arial" w:hAnsi="Arial" w:cs="Arial"/>
          <w:sz w:val="20"/>
        </w:rPr>
        <w:fldChar w:fldCharType="end"/>
      </w:r>
      <w:r w:rsidRPr="00A54222">
        <w:rPr>
          <w:rFonts w:ascii="Arial" w:eastAsia="Arial" w:hAnsi="Arial" w:cs="Arial"/>
          <w:sz w:val="20"/>
        </w:rPr>
        <w:t>. Ovi podaci upućuju da je među srednjoškolcima široko rasprostranjena zabluda da postoje manje štetne alternative pušenju duhana.</w:t>
      </w:r>
    </w:p>
    <w:p w14:paraId="702465F0" w14:textId="088F9E84" w:rsidR="00076856" w:rsidRPr="00A54222" w:rsidRDefault="00DE4299" w:rsidP="00756C58">
      <w:pPr>
        <w:spacing w:before="240" w:after="240" w:line="360" w:lineRule="auto"/>
        <w:jc w:val="both"/>
        <w:rPr>
          <w:rFonts w:ascii="Arial" w:eastAsia="Arial" w:hAnsi="Arial" w:cs="Arial"/>
          <w:sz w:val="20"/>
        </w:rPr>
      </w:pPr>
      <w:r w:rsidRPr="00A54222">
        <w:rPr>
          <w:rFonts w:ascii="Arial" w:eastAsia="Arial" w:hAnsi="Arial" w:cs="Arial"/>
          <w:sz w:val="20"/>
        </w:rPr>
        <w:lastRenderedPageBreak/>
        <w:t xml:space="preserve">Problem pušenja u srednjoškolskoj dobi vrlo se često nastavlja i u studentskoj dobi. Dokazano je  da učenici koji su u srednjoj školi povremeno pušili imaju veće šanse da puše više kada započnu studij </w:t>
      </w:r>
      <w:r w:rsidR="00F60CE7">
        <w:rPr>
          <w:rFonts w:ascii="Arial" w:eastAsia="Arial" w:hAnsi="Arial" w:cs="Arial"/>
          <w:sz w:val="20"/>
        </w:rPr>
        <w:fldChar w:fldCharType="begin" w:fldLock="1"/>
      </w:r>
      <w:r w:rsidR="007508FC">
        <w:rPr>
          <w:rFonts w:ascii="Arial" w:eastAsia="Arial" w:hAnsi="Arial" w:cs="Arial"/>
          <w:sz w:val="20"/>
        </w:rPr>
        <w:instrText xml:space="preserve"> ADDIN ZOTERO_ITEM CSL_CITATION {"citationID":"C233P7jx","properties":{"formattedCitation":"(14)","plainCitation":"(14)","noteIndex":0},"citationItems":[{"id":"YlNUCLkK/kBeuv8e1","uris":["http://www.mendeley.com/documents/?uuid=e2a66e6b-865f-4bb6-9519-34196f4970f4"],"uri":["http://www.mendeley.com/documents/?uuid=e2a66e6b-865f-4bb6-9519-34196f4970f4"],"itemData":{"DOI":"10.3200/jach.52.5.203-212","ISSN":"07448481","abstract":"Cigarette smoking among college students is a critical public health problem. In this article, the authors review available research on cigarette smoking practices among college students and suggest directions for future research. Studies show that smoking by college students is associated with being White, living in housing where smoking is permitted, using alcohol and other substances, and having a lower psychological sense of well-being. Depression, life satisfaction, and coping style are also related to college smoking, but the causal relationship remains unclear. Although a large proportion of college students have made an attempt to quit smoking, only a minority actually succeed. Most study designs examining college smoking have been cross-sectional, descriptive, or both. Thus, conclusions regarding predictors of smoking onset, maintenance, and cessation cannot be made. Future studies should use longitudinal designs that can identify psychological and socioenvironmental determinants of smoking among college students. Such information could inform the development of smoking prevention and cessation interventions targeted to the college student population.","author":[{"dropping-particle":"","family":"Patterson","given":"Freda","non-dropping-particle":"","parse-names":false,"suffix":""},{"dropping-particle":"","family":"Lerman","given":"Caryn","non-dropping-particle":"","parse-names":false,"suffix":""},{"dropping-particle":"","family":"Kaufmann","given":"Vyga G.","non-dropping-particle":"","parse-names":false,"suffix":""},{"dropping-particle":"","family":"Neuner","given":"Geoffrey A.","non-dropping-particle":"","parse-names":false,"suffix":""},{"dropping-particle":"","family":"Audrain-McGovern","given":"Janet","non-dropping-particle":"","parse-names":false,"suffix":""}],"container-title":"Journal of American College Health","id":"ITEM-1","issue":"5","issued":{"date-parts":[["2004"]]},"page":"203-212","title":"Cigarette smoking practices among american college students: Review and future directions","type":"article-journal","volume":"52"}}],"schema":"https://github.com/citation-style-language/schema/raw/master/csl-citation.json"} </w:instrText>
      </w:r>
      <w:r w:rsidR="00F60CE7">
        <w:rPr>
          <w:rFonts w:ascii="Arial" w:eastAsia="Arial" w:hAnsi="Arial" w:cs="Arial"/>
          <w:sz w:val="20"/>
        </w:rPr>
        <w:fldChar w:fldCharType="separate"/>
      </w:r>
      <w:r w:rsidR="007508FC" w:rsidRPr="007508FC">
        <w:rPr>
          <w:rFonts w:ascii="Arial" w:hAnsi="Arial" w:cs="Arial"/>
          <w:sz w:val="20"/>
        </w:rPr>
        <w:t>(14)</w:t>
      </w:r>
      <w:r w:rsidR="00F60CE7">
        <w:rPr>
          <w:rFonts w:ascii="Arial" w:eastAsia="Arial" w:hAnsi="Arial" w:cs="Arial"/>
          <w:sz w:val="20"/>
        </w:rPr>
        <w:fldChar w:fldCharType="end"/>
      </w:r>
      <w:r w:rsidRPr="00A54222">
        <w:rPr>
          <w:rFonts w:ascii="Arial" w:eastAsia="Arial" w:hAnsi="Arial" w:cs="Arial"/>
          <w:sz w:val="20"/>
        </w:rPr>
        <w:t xml:space="preserve">. Analiza podataka dobivenih u sklopu "Campus Health Action Against Tobacco" u SAD-u, istraživanja u kojima su anketirani američki studenti s raznih sveučilišta, pokazala je da je 30% američkih studenata puši manje otkako su započeli studij dok ostali puše ili jednako kao prije (31%) ili još više nego prije studija (39%). 27% trenutnih pušača među američkim studentima identificirali su se kao redoviti pušači. Vjerojatnost samoproglašenja redovitim pušačem jako je povezana s faktorima koji imaju veze s intenzitetom pušenja kao što su velik broj dana koji su pušili u zadnjih 30 dana (21 dan i više), broj cigareta dnevno (9 ili više) te pušenje unutar prvih 30 minuta od buđenja. Također je tom analizom utvrđeno da je vjerojatnost samoidentifikacije kao redoviti pušač veća kod ženskog spola, studenata viših godina studija te studenata sa statusom vanrednog studenta, pogotovo onih koji su počeli pušiti u mlađoj dobi te su pušili više cigareta dnevno prije nego su započeli studij </w:t>
      </w:r>
      <w:r w:rsidR="00F60CE7">
        <w:rPr>
          <w:rFonts w:ascii="Arial" w:eastAsia="Arial" w:hAnsi="Arial" w:cs="Arial"/>
          <w:sz w:val="20"/>
        </w:rPr>
        <w:fldChar w:fldCharType="begin" w:fldLock="1"/>
      </w:r>
      <w:r w:rsidR="007508FC">
        <w:rPr>
          <w:rFonts w:ascii="Arial" w:eastAsia="Arial" w:hAnsi="Arial" w:cs="Arial"/>
          <w:sz w:val="20"/>
        </w:rPr>
        <w:instrText xml:space="preserve"> ADDIN ZOTERO_ITEM CSL_CITATION {"citationID":"IX9t5oCv","properties":{"formattedCitation":"(15)","plainCitation":"(15)","noteIndex":0},"citationItems":[{"id":"YlNUCLkK/je3fgjyr","uris":["http://www.mendeley.com/documents/?uuid=a2970734-3b0b-4da5-8a45-33d904581eb1"],"uri":["http://www.mendeley.com/documents/?uuid=a2970734-3b0b-4da5-8a45-33d904581eb1"],"itemData":{"DOI":"10.1080/14622200701704202","ISSN":"14622203","PMID":"18188747","abstract":"Tobacco use among college students increased substantially during the 1990s. Better understanding of college smokers is warranted to develop interventions specific to the needs of this population. We examined sociodemographic and tobacco-use characteristics associated with self-identification as a regular smoker and intentions to quit smoking among college students who smoke cigarettes. We conducted logistic regression analysis on baseline survey data from the Campus Health Action on Tobacco study, a 4-year group-randomized trial at 30 four-year colleges in Washington, Oregon, and Idaho. Students who self-identified as a regular smoker smoked more cigarettes before starting college, smoked a greater number of cigarettes the prior 30 days, smoked more cigarettes per day, and were more likely to smoke within 30 min of waking up, compared with students who were current smokers but did not consider themselves regular smokers. Females, older students, and those who had decreased the amount they smoked since coming to college were more likely to want to quit \"very much.\" Females and students in early college years were more likely to be planning to quit before graduation, as were students who had decreased the amount they smoked since coming to college. Interventions should target students who are in their early college years, given that habits prior to college, changes in smoking habits while in college, and year in college are associated with students' self-identification as a regular smoker, desire to quit smoking, or plan to quit smoking while in college.","author":[{"dropping-particle":"","family":"Harris","given":"Jennifer B.","non-dropping-particle":"","parse-names":false,"suffix":""},{"dropping-particle":"","family":"Schwartz","given":"Stephen M.","non-dropping-particle":"","parse-names":false,"suffix":""},{"dropping-particle":"","family":"Thompson","given":"Beti","non-dropping-particle":"","parse-names":false,"suffix":""}],"container-title":"Nicotine and Tobacco Research","id":"ITEM-1","issue":"1","issued":{"date-parts":[["2008"]]},"page":"69-76","title":"Characteristics associated with self-identification as a regular smoker and desire to quit among college students who smoke cigarettes","type":"article-journal","volume":"10"}}],"schema":"https://github.com/citation-style-language/schema/raw/master/csl-citation.json"} </w:instrText>
      </w:r>
      <w:r w:rsidR="00F60CE7">
        <w:rPr>
          <w:rFonts w:ascii="Arial" w:eastAsia="Arial" w:hAnsi="Arial" w:cs="Arial"/>
          <w:sz w:val="20"/>
        </w:rPr>
        <w:fldChar w:fldCharType="separate"/>
      </w:r>
      <w:r w:rsidR="007508FC" w:rsidRPr="007508FC">
        <w:rPr>
          <w:rFonts w:ascii="Arial" w:hAnsi="Arial" w:cs="Arial"/>
          <w:sz w:val="20"/>
        </w:rPr>
        <w:t>(15)</w:t>
      </w:r>
      <w:r w:rsidR="00F60CE7">
        <w:rPr>
          <w:rFonts w:ascii="Arial" w:eastAsia="Arial" w:hAnsi="Arial" w:cs="Arial"/>
          <w:sz w:val="20"/>
        </w:rPr>
        <w:fldChar w:fldCharType="end"/>
      </w:r>
      <w:r w:rsidRPr="00A54222">
        <w:rPr>
          <w:rFonts w:ascii="Arial" w:eastAsia="Arial" w:hAnsi="Arial" w:cs="Arial"/>
          <w:sz w:val="20"/>
        </w:rPr>
        <w:t xml:space="preserve">. </w:t>
      </w:r>
    </w:p>
    <w:p w14:paraId="3F679C1A" w14:textId="4AAE1F47" w:rsidR="00076856" w:rsidRPr="00A54222" w:rsidRDefault="00DE4299" w:rsidP="00756C58">
      <w:pPr>
        <w:spacing w:before="240" w:after="240" w:line="360" w:lineRule="auto"/>
        <w:jc w:val="both"/>
        <w:rPr>
          <w:rFonts w:ascii="Arial" w:eastAsia="Arial" w:hAnsi="Arial" w:cs="Arial"/>
          <w:sz w:val="20"/>
        </w:rPr>
      </w:pPr>
      <w:r w:rsidRPr="00A54222">
        <w:rPr>
          <w:rFonts w:ascii="Arial" w:eastAsia="Arial" w:hAnsi="Arial" w:cs="Arial"/>
          <w:sz w:val="20"/>
        </w:rPr>
        <w:t xml:space="preserve">I kod studenata zdravstvenih struka problem pušenja poprilično je raširen. Global Health Professions Student Study (GHPSS) istraživanje je provedeno na studentima zdravstvenih struka između 2005. i 2008. godine na ukupno 48 mjesta u 47 država.  U 26 od 48 mjesta anketiranja za GHPSS preko 20% studenata zdravstvenih struka trenutno puši (u Hrvatskoj 36.6%), a u trima državama prevalencija je pušenja među tim studentima preko 40% (Albanija, Bosna i Hercegovina i Bolivija). U 15 od 48 mjesta anketiranja preko 10% studenata zdravstvenih sturka koriste alternativne duhanske proizvode (u Hrvatskoj 10.7%), a u dvjema državama (Niger i Sirija) udio takvih studenata prelazi 20%, što upućuje da zabluda o manje štetnim oblicima pušenja nije prisutna samo među srednjoškolcima, nego i među studentima zdravstvenih struka </w:t>
      </w:r>
      <w:r w:rsidR="00F60CE7">
        <w:rPr>
          <w:rFonts w:ascii="Arial" w:eastAsia="Arial" w:hAnsi="Arial" w:cs="Arial"/>
          <w:sz w:val="20"/>
        </w:rPr>
        <w:fldChar w:fldCharType="begin" w:fldLock="1"/>
      </w:r>
      <w:r w:rsidR="007508FC">
        <w:rPr>
          <w:rFonts w:ascii="Arial" w:eastAsia="Arial" w:hAnsi="Arial" w:cs="Arial"/>
          <w:sz w:val="20"/>
        </w:rPr>
        <w:instrText xml:space="preserve"> ADDIN ZOTERO_ITEM CSL_CITATION {"citationID":"aZDLixgx","properties":{"formattedCitation":"(16)","plainCitation":"(16)","noteIndex":0},"citationItems":[{"id":"YlNUCLkK/3Q6qgFGn","uris":["http://www.mendeley.com/documents/?uuid=da46c913-068b-3964-8c30-3769c33e758f"],"uri":["http://www.mendeley.com/documents/?uuid=da46c913-068b-3964-8c30-3769c33e758f"],"itemData":{"DOI":"10.1186/1471-2458-11-72","ISSN":"14712458","PMID":"21284864","abstract":"Background. GHPSS is a school-based survey that collects self-administered data from students in regular classroom settings. GHPSS produces representative data at the national or city level in each country. This study aims to investigate the prevalence of tobacco use, exposure to secondhand smoke, and cessation counseling among medical students using the GHPSS data. Methods. The Global Health Professions Student Survey (GHPSS) was conducted among 3 rd year medical students in 47 countries and the Gaza Strip/West Bank from 2005-2008 to determine the prevalence of tobacco use and amount of formal training in cessation counseling. Results. In 26 of the 48 sites, over 20% of the students currently smoked cigarettes, with males having higher rates than females in 37 sites. Over 70% of students reported having been exposed to secondhand smoke in public places in 29 of 48 sites. The majority of students recognized that they are role models in society (over 80% in 42 of 48 sites), believed they should receive training on counseling patients to quit using tobacco (over 80% in 41 of 48 sites), but few reported receiving formal training (less than 40% in 46 of 48 sites). Conclusion. Tobacco control efforts must discourage tobacco use among health professionals, promote smoke free workplaces, and implement programs that train medical students in effective cessation-counseling techniques. © 2011 Warren et al; licensee BioMed Central Ltd.","author":[{"dropping-particle":"","family":"Warren","given":"Charles W.","non-dropping-particle":"","parse-names":false,"suffix":""},{"dropping-particle":"","family":"Sinha","given":"Dhirendra N.","non-dropping-particle":"","parse-names":false,"suffix":""},{"dropping-particle":"","family":"Lee","given":"Juliette","non-dropping-particle":"","parse-names":false,"suffix":""},{"dropping-particle":"","family":"Lea","given":"Veronica","non-dropping-particle":"","parse-names":false,"suffix":""},{"dropping-particle":"","family":"Jones","given":"Nathan R.","non-dropping-particle":"","parse-names":false,"suffix":""}],"container-title":"BMC Public Health","id":"ITEM-1","issue":"1","issued":{"date-parts":[["2011","2","1"]]},"page":"1-16","publisher":"BioMed Central","title":"Tobacco use, exposure to secondhand smoke, and cessation counseling among medical students: Cross-country data from the Global Health Professions Student Survey (GHPSS), 2005-2008","type":"article-journal","volume":"11"}}],"schema":"https://github.com/citation-style-language/schema/raw/master/csl-citation.json"} </w:instrText>
      </w:r>
      <w:r w:rsidR="00F60CE7">
        <w:rPr>
          <w:rFonts w:ascii="Arial" w:eastAsia="Arial" w:hAnsi="Arial" w:cs="Arial"/>
          <w:sz w:val="20"/>
        </w:rPr>
        <w:fldChar w:fldCharType="separate"/>
      </w:r>
      <w:r w:rsidR="007508FC" w:rsidRPr="007508FC">
        <w:rPr>
          <w:rFonts w:ascii="Arial" w:hAnsi="Arial" w:cs="Arial"/>
          <w:sz w:val="20"/>
        </w:rPr>
        <w:t>(16)</w:t>
      </w:r>
      <w:r w:rsidR="00F60CE7">
        <w:rPr>
          <w:rFonts w:ascii="Arial" w:eastAsia="Arial" w:hAnsi="Arial" w:cs="Arial"/>
          <w:sz w:val="20"/>
        </w:rPr>
        <w:fldChar w:fldCharType="end"/>
      </w:r>
      <w:r w:rsidRPr="00A54222">
        <w:rPr>
          <w:rFonts w:ascii="Arial" w:eastAsia="Arial" w:hAnsi="Arial" w:cs="Arial"/>
          <w:sz w:val="20"/>
        </w:rPr>
        <w:t xml:space="preserve">. Prevalencija pušenja među studentima medicine uklapa se u te raspone i u SAD-u (22.4% američkih studenata medicine su ili svakodnevni ili povremeni pušači) </w:t>
      </w:r>
      <w:r w:rsidR="000316ED">
        <w:rPr>
          <w:rFonts w:ascii="Arial" w:eastAsia="Arial" w:hAnsi="Arial" w:cs="Arial"/>
          <w:sz w:val="20"/>
        </w:rPr>
        <w:fldChar w:fldCharType="begin" w:fldLock="1"/>
      </w:r>
      <w:r w:rsidR="007508FC">
        <w:rPr>
          <w:rFonts w:ascii="Arial" w:eastAsia="Arial" w:hAnsi="Arial" w:cs="Arial"/>
          <w:sz w:val="20"/>
        </w:rPr>
        <w:instrText xml:space="preserve"> ADDIN ZOTERO_ITEM CSL_CITATION {"citationID":"PgZaAbHT","properties":{"formattedCitation":"(17)","plainCitation":"(17)","noteIndex":0},"citationItems":[{"id":"YlNUCLkK/EUUSGAzK","uris":["http://www.mendeley.com/documents/?uuid=bbb763d0-fe31-4672-9ed9-94b27d25c59c"],"uri":["http://www.mendeley.com/documents/?uuid=bbb763d0-fe31-4672-9ed9-94b27d25c59c"],"itemData":{"DOI":"10.1111/medu.12145","ISSN":"03080110","PMID":"23662878","abstract":"Despite their important roles as future doctors in tobacco cessation counselling, the high prevalence of tobacco use among medical students may hinder them from advocating tobacco control policies and providing cessation counselling. Promoting this role among medical students is especially important in low- and middle-income countries with high burdens of tobacco use but limited resources for cessation programmes. This study examined the associations between medical students' tobacco use and their attitudes towards tobacco control policies and the roles of health professionals in the provision of tobacco cessation advice. Methods: This cross-sectional study included data from the large multi-country dataset generated by the Global Health Professions Student Survey, 2005-2008 (n = 36 533 medical students). Thirteen binary dependent variables related to medical students' attitudes towards tobacco control policies and the health professional's role in cessation counselling were examined using random-effects logistic regression, with tobacco use status as the key explanatory variable. Covariates included gender, receipt of cessation training, country-level and gender-specific smoking prevalence, region, and country income group. Results: Current tobacco use was consistently associated with less favourable attitudes towards tobacco control policy and cessation advice. Compared with never users, daily users were less likely to agree that the sale of tobacco products to adolescents should be banned (odds ratio [OR] 0.45, 95% confidence interval [CI] 0.39-0.58) and that health professionals should routinely advise patients to quit smoking (OR = 0.48, 95% CI 0.41-0.52) or other forms of tobacco use (OR = 0.84, 95% CI 0.72-0.97). Daily users were less likely to agree that health professionals who smoke are less likely to advise patients to stop smoking (OR = 0.44, 95% CI 0.39-0.41). Conclusions: Medical schools may benefit from a thorough re-evaluation of the scope of tobacco cessation training in their curricula in order to support students in smoking cessation and to shape their attitudes towards tobacco control. Targeting medical students who are current tobacco users in tobacco control efforts may be beneficial, given the cost-effectiveness of providing cessation advice. Discuss ideas arising from the article at 'discuss' © 2013 John Wiley &amp; Sons Ltd.","author":[{"dropping-particle":"","family":"Do","given":"Young Kyung","non-dropping-particle":"","parse-names":false,"suffix":""},{"dropping-particle":"","family":"Bautista","given":"Mary Ann","non-dropping-particle":"","parse-names":false,"suffix":""}],"container-title":"Medical Education","id":"ITEM-1","issue":"6","issued":{"date-parts":[["2013"]]},"page":"607-616","title":"Medical students' tobacco use and attitudes towards tobacco control","type":"article-journal","volume":"47"}}],"schema":"https://github.com/citation-style-language/schema/raw/master/csl-citation.json"} </w:instrText>
      </w:r>
      <w:r w:rsidR="000316ED">
        <w:rPr>
          <w:rFonts w:ascii="Arial" w:eastAsia="Arial" w:hAnsi="Arial" w:cs="Arial"/>
          <w:sz w:val="20"/>
        </w:rPr>
        <w:fldChar w:fldCharType="separate"/>
      </w:r>
      <w:r w:rsidR="007508FC" w:rsidRPr="007508FC">
        <w:rPr>
          <w:rFonts w:ascii="Arial" w:hAnsi="Arial" w:cs="Arial"/>
          <w:sz w:val="20"/>
        </w:rPr>
        <w:t>(17)</w:t>
      </w:r>
      <w:r w:rsidR="000316ED">
        <w:rPr>
          <w:rFonts w:ascii="Arial" w:eastAsia="Arial" w:hAnsi="Arial" w:cs="Arial"/>
          <w:sz w:val="20"/>
        </w:rPr>
        <w:fldChar w:fldCharType="end"/>
      </w:r>
      <w:r w:rsidRPr="00A54222">
        <w:rPr>
          <w:rFonts w:ascii="Arial" w:eastAsia="Arial" w:hAnsi="Arial" w:cs="Arial"/>
          <w:sz w:val="20"/>
        </w:rPr>
        <w:t xml:space="preserve">. Kod 31% trenutnih pušača među studentima medicine želja za cigaretom javlja se unutar 30 minuta od buđenja, što upućuje na visoki stupanj ovisnosti o nikotinu </w:t>
      </w:r>
      <w:r w:rsidR="000316ED">
        <w:rPr>
          <w:rFonts w:ascii="Arial" w:eastAsia="Arial" w:hAnsi="Arial" w:cs="Arial"/>
          <w:sz w:val="20"/>
        </w:rPr>
        <w:fldChar w:fldCharType="begin" w:fldLock="1"/>
      </w:r>
      <w:r w:rsidR="007508FC">
        <w:rPr>
          <w:rFonts w:ascii="Arial" w:eastAsia="Arial" w:hAnsi="Arial" w:cs="Arial"/>
          <w:sz w:val="20"/>
        </w:rPr>
        <w:instrText xml:space="preserve"> ADDIN ZOTERO_ITEM CSL_CITATION {"citationID":"kLHWqUQa","properties":{"formattedCitation":"(18)","plainCitation":"(18)","noteIndex":0},"citationItems":[{"id":"YlNUCLkK/ExduAIsO","uris":["http://www.mendeley.com/documents/?uuid=a3a9b83f-3377-3efa-acc5-e7dd24a3a9dd"],"uri":["http://www.mendeley.com/documents/?uuid=a3a9b83f-3377-3efa-acc5-e7dd24a3a9dd"],"itemData":{"DOI":"10.1007/s00038-008-7005-5","ISSN":"1420911X","PMID":"18681340","abstract":"Objectives: To collect information from third year medical students attending Croatian medical schools on prevalence of cigarette smoking and other tobacco use, exposure to secondhand smoke, desire to quit using tobacco, attitudes and training concerning counselling patients on tobacco cessation. Methods: Global Health Professionals Survey (GHPS) was conducted in 2005 in all four Croatian medical schools with a census of third year medical students (404 out of 409, response rate 98.5 %) using an anonymous, confi dential and self-reported questionnaire. Results: More than two thirds (67.4 %) of medical students in Croatia have ever smoked cigarettes, and over one third (36.6 %) are smoking cigarettes currently. Half of the medical students (50.4 %) report exposure to second hand smoke at home. Less than a third of current smokers (30.9 %) have received cessation assistance when they tried to quit. Conclusions: Our findings indicate significant tobacco use among medical students in Croatia. There is an urgent need to reduce this harmful behaviour through more comprehensive public health initiatives, provision of support for cessation among health professionals who smoke and provision of training to health professionals to assist their patients with cessation. © Birkhaeuser 2008.","author":[{"dropping-particle":"","family":"Vrazic","given":"Hrvoje","non-dropping-particle":"","parse-names":false,"suffix":""},{"dropping-particle":"","family":"Ljubicic","given":"Divo","non-dropping-particle":"","parse-names":false,"suffix":""},{"dropping-particle":"","family":"Schneider","given":"Nick Kai","non-dropping-particle":"","parse-names":false,"suffix":""}],"container-title":"International Journal of Public Health","id":"ITEM-1","issue":"2","issued":{"date-parts":[["2008"]]},"page":"111-117","publisher":"Birkhauser Verlag Basel","title":"Tobacco use and cessation among medical students in Croatia - Results of the Global Health Professionals Pilot Survey (GHPS) in Croatia, 2005","type":"article-journal","volume":"53"}}],"schema":"https://github.com/citation-style-language/schema/raw/master/csl-citation.json"} </w:instrText>
      </w:r>
      <w:r w:rsidR="000316ED">
        <w:rPr>
          <w:rFonts w:ascii="Arial" w:eastAsia="Arial" w:hAnsi="Arial" w:cs="Arial"/>
          <w:sz w:val="20"/>
        </w:rPr>
        <w:fldChar w:fldCharType="separate"/>
      </w:r>
      <w:r w:rsidR="007508FC" w:rsidRPr="007508FC">
        <w:rPr>
          <w:rFonts w:ascii="Arial" w:hAnsi="Arial" w:cs="Arial"/>
          <w:sz w:val="20"/>
        </w:rPr>
        <w:t>(18)</w:t>
      </w:r>
      <w:r w:rsidR="000316ED">
        <w:rPr>
          <w:rFonts w:ascii="Arial" w:eastAsia="Arial" w:hAnsi="Arial" w:cs="Arial"/>
          <w:sz w:val="20"/>
        </w:rPr>
        <w:fldChar w:fldCharType="end"/>
      </w:r>
      <w:r w:rsidRPr="00A54222">
        <w:rPr>
          <w:rFonts w:ascii="Arial" w:eastAsia="Arial" w:hAnsi="Arial" w:cs="Arial"/>
          <w:sz w:val="20"/>
        </w:rPr>
        <w:t>.</w:t>
      </w:r>
    </w:p>
    <w:p w14:paraId="04DC6B4A" w14:textId="77777777" w:rsidR="00076856" w:rsidRPr="00A54222" w:rsidRDefault="00DE4299" w:rsidP="00756C58">
      <w:pPr>
        <w:spacing w:line="360" w:lineRule="auto"/>
        <w:jc w:val="both"/>
        <w:rPr>
          <w:rFonts w:ascii="Arial" w:eastAsia="Arial" w:hAnsi="Arial" w:cs="Arial"/>
          <w:sz w:val="20"/>
        </w:rPr>
      </w:pPr>
      <w:r w:rsidRPr="00A54222">
        <w:rPr>
          <w:rFonts w:ascii="Arial" w:eastAsia="Arial" w:hAnsi="Arial" w:cs="Arial"/>
          <w:sz w:val="20"/>
        </w:rPr>
        <w:t>Ovo istraživanje dio je projekta  “Usporedba učinkovitosti Vareniklina i Citizina u odvikavanju od pušenja nikotina u primarnoj zdravstvenoj zaštiti” - randomizirana kontrolirana studija (studija LPPHR2018) čiji je naručitelj Global Research Awards for Nicotine Dependence (GRAND), a nositelj Medicinski fakultet Sveučilišta u Zagrebu. Primarni ciljevi projekta uključuju: napraviti procjenu navika pušenja cigareta, težinu ovisnosti o nikotinu, stavove i uvjerenja o raku pluća i drugim bolestima povezanim s pušenjem te stavove i vjerovanja o prestanku pušenja kod pacijenata u primarnoj zdravstvenoj skrbi u Hrvatskoj. Sekundarni ciljevi projekta uključuju: realizirati intervencijsku studiju s ciljem prestanka pušenja primjenom farmakoterapije u ordinacijama obiteljske medicine te istražiti učinkovitost i djelotvornost vareniklina i citizina kao farmakološkog sredstva pomoći pušačima u procesu odvikavanja od pušenja u randomiziranoj usporednoj studiji.</w:t>
      </w:r>
    </w:p>
    <w:p w14:paraId="170CA132" w14:textId="77777777" w:rsidR="00076856" w:rsidRPr="00DE4299" w:rsidRDefault="00DE4299" w:rsidP="00756C58">
      <w:pPr>
        <w:pStyle w:val="Heading1"/>
        <w:spacing w:line="360" w:lineRule="auto"/>
        <w:rPr>
          <w:rFonts w:ascii="Arial" w:hAnsi="Arial" w:cs="Arial"/>
          <w:sz w:val="24"/>
          <w:szCs w:val="24"/>
        </w:rPr>
      </w:pPr>
      <w:bookmarkStart w:id="2" w:name="_heading=h.jemu9s0q17s" w:colFirst="0" w:colLast="0"/>
      <w:bookmarkStart w:id="3" w:name="_Toc75635794"/>
      <w:bookmarkEnd w:id="2"/>
      <w:r w:rsidRPr="00DE4299">
        <w:rPr>
          <w:rFonts w:ascii="Arial" w:hAnsi="Arial" w:cs="Arial"/>
          <w:sz w:val="24"/>
          <w:szCs w:val="24"/>
        </w:rPr>
        <w:lastRenderedPageBreak/>
        <w:t>2. HIPOTEZA</w:t>
      </w:r>
      <w:bookmarkEnd w:id="3"/>
    </w:p>
    <w:p w14:paraId="5A90AE30" w14:textId="77777777" w:rsidR="00076856" w:rsidRPr="00A54222" w:rsidRDefault="00DE4299" w:rsidP="00756C58">
      <w:pPr>
        <w:spacing w:line="360" w:lineRule="auto"/>
        <w:jc w:val="both"/>
        <w:rPr>
          <w:sz w:val="20"/>
        </w:rPr>
      </w:pPr>
      <w:r w:rsidRPr="00A54222">
        <w:rPr>
          <w:rFonts w:ascii="Arial" w:eastAsia="Arial" w:hAnsi="Arial" w:cs="Arial"/>
          <w:sz w:val="20"/>
        </w:rPr>
        <w:t>Prilikom testiranja statističke značajnosti razlika između spola, tipa studija i područja studija pokazati će se razlike između studenata biomedicinskih, društvenohumanističkih i umjetničkih  studija koji su sudjelovali u anketi i odgovarali na upitnik temeljen na Fagerström testu.  Studenti biomedicinskih studija (Medicinski fakulteti Sveučilišta u Zagrebu i Rijeci) pokazuju manji stupanj ovisnosti i veću pripravnost za sudjelovanje u odvikavanju od ovisnosti korištenjem farmakoterapije od studenata društvenih i humanističkih fakulteta i umjetničkih akademija (Filozofski fakultet, Pravni fakultet i Akademija dramske umjetnosti u Zagrebu, Akademija za umjetnost i kulturu Sveučilišta u Osijeku).</w:t>
      </w:r>
    </w:p>
    <w:p w14:paraId="2D12444C" w14:textId="77777777" w:rsidR="00076856" w:rsidRPr="00DE4299" w:rsidRDefault="00DE4299" w:rsidP="00756C58">
      <w:pPr>
        <w:pStyle w:val="Heading1"/>
        <w:spacing w:line="360" w:lineRule="auto"/>
        <w:rPr>
          <w:rFonts w:ascii="Arial" w:hAnsi="Arial" w:cs="Arial"/>
          <w:sz w:val="24"/>
          <w:szCs w:val="24"/>
        </w:rPr>
      </w:pPr>
      <w:bookmarkStart w:id="4" w:name="_heading=h.f9uw4ewb0ypd" w:colFirst="0" w:colLast="0"/>
      <w:bookmarkStart w:id="5" w:name="_Toc75635795"/>
      <w:bookmarkEnd w:id="4"/>
      <w:r w:rsidRPr="00DE4299">
        <w:rPr>
          <w:rFonts w:ascii="Arial" w:hAnsi="Arial" w:cs="Arial"/>
          <w:sz w:val="24"/>
          <w:szCs w:val="24"/>
        </w:rPr>
        <w:t>3. OPĆI I SPECIFIČNI CILJEVI RADA</w:t>
      </w:r>
      <w:bookmarkEnd w:id="5"/>
    </w:p>
    <w:p w14:paraId="30D2E3AA" w14:textId="77777777" w:rsidR="00076856" w:rsidRPr="00A54222" w:rsidRDefault="00DE4299" w:rsidP="00756C58">
      <w:pPr>
        <w:spacing w:line="360" w:lineRule="auto"/>
        <w:jc w:val="both"/>
        <w:rPr>
          <w:rFonts w:ascii="Arial" w:eastAsia="Arial" w:hAnsi="Arial" w:cs="Arial"/>
          <w:sz w:val="20"/>
        </w:rPr>
      </w:pPr>
      <w:r w:rsidRPr="00A54222">
        <w:rPr>
          <w:rFonts w:ascii="Arial" w:eastAsia="Arial" w:hAnsi="Arial" w:cs="Arial"/>
          <w:sz w:val="20"/>
        </w:rPr>
        <w:t>U skladu sa ciljevima krovnog projekta „Usporedba učinkovitosti Vareniklina i Citizina u odvikavanju od pušenja nikotina u primarnoj zdravstvenoj zaštiti” glavni cilj ovog istraživanja je procjena stupnja ovisnosti o nikotinu u studentskoj populaciji Republike Hrvatske pomoću Fagerströmovog testa ovisnosti o nikotinu.</w:t>
      </w:r>
    </w:p>
    <w:p w14:paraId="2574B23F" w14:textId="77777777" w:rsidR="00076856" w:rsidRPr="00A54222" w:rsidRDefault="00076856" w:rsidP="00756C58">
      <w:pPr>
        <w:spacing w:line="360" w:lineRule="auto"/>
        <w:jc w:val="both"/>
        <w:rPr>
          <w:rFonts w:ascii="Arial" w:eastAsia="Arial" w:hAnsi="Arial" w:cs="Arial"/>
          <w:sz w:val="20"/>
        </w:rPr>
      </w:pPr>
    </w:p>
    <w:p w14:paraId="08E6EB4A" w14:textId="77777777" w:rsidR="00076856" w:rsidRPr="00A54222" w:rsidRDefault="00DE4299" w:rsidP="00756C58">
      <w:pPr>
        <w:spacing w:line="360" w:lineRule="auto"/>
        <w:jc w:val="both"/>
        <w:rPr>
          <w:rFonts w:ascii="Arial" w:eastAsia="Arial" w:hAnsi="Arial" w:cs="Arial"/>
          <w:sz w:val="20"/>
        </w:rPr>
      </w:pPr>
      <w:r w:rsidRPr="00A54222">
        <w:rPr>
          <w:rFonts w:ascii="Arial" w:eastAsia="Arial" w:hAnsi="Arial" w:cs="Arial"/>
          <w:sz w:val="20"/>
        </w:rPr>
        <w:t>Specifični ciljevi istraživanja su:</w:t>
      </w:r>
    </w:p>
    <w:p w14:paraId="1DDD258A" w14:textId="77777777" w:rsidR="00076856" w:rsidRPr="00A54222" w:rsidRDefault="00DE4299" w:rsidP="00756C58">
      <w:pPr>
        <w:numPr>
          <w:ilvl w:val="0"/>
          <w:numId w:val="3"/>
        </w:numPr>
        <w:pBdr>
          <w:top w:val="nil"/>
          <w:left w:val="nil"/>
          <w:bottom w:val="nil"/>
          <w:right w:val="nil"/>
          <w:between w:val="nil"/>
        </w:pBdr>
        <w:spacing w:after="0" w:line="360" w:lineRule="auto"/>
        <w:jc w:val="both"/>
        <w:rPr>
          <w:rFonts w:ascii="Arial" w:eastAsia="Arial" w:hAnsi="Arial" w:cs="Arial"/>
          <w:color w:val="000000"/>
          <w:sz w:val="20"/>
        </w:rPr>
      </w:pPr>
      <w:r w:rsidRPr="00A54222">
        <w:rPr>
          <w:rFonts w:ascii="Arial" w:eastAsia="Arial" w:hAnsi="Arial" w:cs="Arial"/>
          <w:color w:val="000000"/>
          <w:sz w:val="20"/>
        </w:rPr>
        <w:t xml:space="preserve">Analiza razlika u stupnjevima nikotinske ovisnosti studenata ovisno o spolu i tipu visokoobrazovne  institucije (zdravstvena ili nezdravstvena) koju pohađaju ispitanici. </w:t>
      </w:r>
    </w:p>
    <w:p w14:paraId="47F5E6B0" w14:textId="77777777" w:rsidR="00076856" w:rsidRPr="00A54222" w:rsidRDefault="00DE4299" w:rsidP="00756C58">
      <w:pPr>
        <w:numPr>
          <w:ilvl w:val="0"/>
          <w:numId w:val="3"/>
        </w:numPr>
        <w:pBdr>
          <w:top w:val="nil"/>
          <w:left w:val="nil"/>
          <w:bottom w:val="nil"/>
          <w:right w:val="nil"/>
          <w:between w:val="nil"/>
        </w:pBdr>
        <w:spacing w:after="0" w:line="360" w:lineRule="auto"/>
        <w:jc w:val="both"/>
        <w:rPr>
          <w:rFonts w:ascii="Arial" w:eastAsia="Arial" w:hAnsi="Arial" w:cs="Arial"/>
          <w:color w:val="000000"/>
          <w:sz w:val="20"/>
        </w:rPr>
      </w:pPr>
      <w:r w:rsidRPr="00A54222">
        <w:rPr>
          <w:rFonts w:ascii="Arial" w:eastAsia="Arial" w:hAnsi="Arial" w:cs="Arial"/>
          <w:color w:val="000000"/>
          <w:sz w:val="20"/>
        </w:rPr>
        <w:t xml:space="preserve">Analiza razlika  u odgovorima ispitivanih studenata na pojedina pitanja u Fagerströmovom testu vezana uz zdravstveno ponašanje studenata povezano sa navikama pušenja ovisno </w:t>
      </w:r>
      <w:r w:rsidRPr="00A54222">
        <w:rPr>
          <w:rFonts w:ascii="Arial" w:eastAsia="Arial" w:hAnsi="Arial" w:cs="Arial"/>
          <w:sz w:val="20"/>
        </w:rPr>
        <w:t>o</w:t>
      </w:r>
      <w:r w:rsidRPr="00A54222">
        <w:rPr>
          <w:rFonts w:ascii="Arial" w:eastAsia="Arial" w:hAnsi="Arial" w:cs="Arial"/>
          <w:color w:val="000000"/>
          <w:sz w:val="20"/>
        </w:rPr>
        <w:t xml:space="preserve"> spolu i visokoobrazovnoj instituciji koju pohađaju ispitanici. </w:t>
      </w:r>
    </w:p>
    <w:p w14:paraId="3F9FD9AF" w14:textId="4FE2C437" w:rsidR="00076856" w:rsidRPr="00A54222" w:rsidRDefault="00DE4299" w:rsidP="00756C58">
      <w:pPr>
        <w:numPr>
          <w:ilvl w:val="0"/>
          <w:numId w:val="3"/>
        </w:numPr>
        <w:pBdr>
          <w:top w:val="nil"/>
          <w:left w:val="nil"/>
          <w:bottom w:val="nil"/>
          <w:right w:val="nil"/>
          <w:between w:val="nil"/>
        </w:pBdr>
        <w:spacing w:line="360" w:lineRule="auto"/>
        <w:jc w:val="both"/>
        <w:rPr>
          <w:rFonts w:ascii="Arial" w:eastAsia="Arial" w:hAnsi="Arial" w:cs="Arial"/>
          <w:color w:val="000000"/>
          <w:sz w:val="20"/>
        </w:rPr>
      </w:pPr>
      <w:r w:rsidRPr="00A54222">
        <w:rPr>
          <w:rFonts w:ascii="Arial" w:eastAsia="Arial" w:hAnsi="Arial" w:cs="Arial"/>
          <w:color w:val="000000"/>
          <w:sz w:val="20"/>
        </w:rPr>
        <w:t>Procjen</w:t>
      </w:r>
      <w:r w:rsidR="00E67E71" w:rsidRPr="00A54222">
        <w:rPr>
          <w:rFonts w:ascii="Arial" w:eastAsia="Arial" w:hAnsi="Arial" w:cs="Arial"/>
          <w:color w:val="000000"/>
          <w:sz w:val="20"/>
        </w:rPr>
        <w:t>a spremnosti studenata za upotrebu</w:t>
      </w:r>
      <w:r w:rsidRPr="00A54222">
        <w:rPr>
          <w:rFonts w:ascii="Arial" w:eastAsia="Arial" w:hAnsi="Arial" w:cs="Arial"/>
          <w:color w:val="000000"/>
          <w:sz w:val="20"/>
        </w:rPr>
        <w:t xml:space="preserve"> lijekova kao pomoći za prestanak pušenja.</w:t>
      </w:r>
    </w:p>
    <w:p w14:paraId="726EF00E" w14:textId="77777777" w:rsidR="00076856" w:rsidRPr="00DE4299" w:rsidRDefault="00DE4299" w:rsidP="00756C58">
      <w:pPr>
        <w:pStyle w:val="Heading1"/>
        <w:spacing w:line="360" w:lineRule="auto"/>
        <w:rPr>
          <w:rFonts w:ascii="Arial" w:hAnsi="Arial" w:cs="Arial"/>
          <w:sz w:val="24"/>
          <w:szCs w:val="24"/>
        </w:rPr>
      </w:pPr>
      <w:bookmarkStart w:id="6" w:name="_heading=h.cbjy9baq6w15" w:colFirst="0" w:colLast="0"/>
      <w:bookmarkEnd w:id="6"/>
      <w:r>
        <w:rPr>
          <w:sz w:val="24"/>
          <w:szCs w:val="24"/>
        </w:rPr>
        <w:t xml:space="preserve">  </w:t>
      </w:r>
      <w:bookmarkStart w:id="7" w:name="_heading=h.9pid7x3bx2c9" w:colFirst="0" w:colLast="0"/>
      <w:bookmarkStart w:id="8" w:name="_Toc75635796"/>
      <w:bookmarkEnd w:id="7"/>
      <w:r w:rsidRPr="00DE4299">
        <w:rPr>
          <w:rFonts w:ascii="Arial" w:hAnsi="Arial" w:cs="Arial"/>
          <w:sz w:val="24"/>
          <w:szCs w:val="24"/>
        </w:rPr>
        <w:t>4. ISPITANICI I METODE</w:t>
      </w:r>
      <w:bookmarkEnd w:id="8"/>
    </w:p>
    <w:p w14:paraId="24FC2EFE" w14:textId="77777777" w:rsidR="00076856" w:rsidRPr="00A54222" w:rsidRDefault="00DE4299" w:rsidP="00756C58">
      <w:pPr>
        <w:pBdr>
          <w:top w:val="nil"/>
          <w:left w:val="nil"/>
          <w:bottom w:val="nil"/>
          <w:right w:val="nil"/>
          <w:between w:val="nil"/>
        </w:pBdr>
        <w:spacing w:line="360" w:lineRule="auto"/>
        <w:jc w:val="both"/>
        <w:rPr>
          <w:rFonts w:ascii="Arial" w:eastAsia="Arial" w:hAnsi="Arial" w:cs="Arial"/>
          <w:sz w:val="20"/>
        </w:rPr>
      </w:pPr>
      <w:r w:rsidRPr="00A54222">
        <w:rPr>
          <w:rFonts w:ascii="Arial" w:eastAsia="Arial" w:hAnsi="Arial" w:cs="Arial"/>
          <w:sz w:val="20"/>
        </w:rPr>
        <w:t xml:space="preserve">Ovo istraživanje provedeno je online upitnikom izrađenom u programu Google Forms baziranog na Fagerströmovu testu uz završno pitanje: “Ukoliko bi vam ponudili lijek za prestanak pušenja, biste li ga prihvatili?”. U istraživanje su bili uključeni studenti Sveučilišta u Zagrebu (Medicinski fakultet, Filozofski fakultet, Pravni fakultet i Akademija dramske umjetnosti), Sveučilišta u Rijeci (Medicinski fakultet) i Sveučilišta u Osijeku (Akademija za umjetnost i kulturu) svih godina studija sa statusom aktivnog studiranja. Anketa je distribuirana studentima na službene e-mail adrese sveučilišta izrađene u sustavu AAIEdu uz poziv za dobrovoljno sudjelovanje u istraživanju s opisima ciljeva i metoda prikupljanja podataka. Anketa je bila dostupna za rješavanje od 15.11.2020 do 19.3.2021. Svi su sudionici dobrovoljno rješavali anonimnu anketu bez prikupljanja osjetljivih osobnih podataka, a prikupljeni podaci dostupni su za uvid i rukovanje samo nositeljima istraživanja, u skladu s Helsinškom deklaracijom i Zakonom o zaštiti osobnih podataka. </w:t>
      </w:r>
      <w:r w:rsidRPr="00A54222">
        <w:rPr>
          <w:rFonts w:ascii="Arial" w:eastAsia="Arial" w:hAnsi="Arial" w:cs="Arial"/>
          <w:sz w:val="20"/>
        </w:rPr>
        <w:lastRenderedPageBreak/>
        <w:t>Istraživanje je odobreno od strane Etičkog povjerenstva Medicinskog fakulteta u Zagrebu, a dozvola za uključivanje studenata pojedinih sastavnica dobivena je od strane odgovornih osoba unutar institucija.</w:t>
      </w:r>
    </w:p>
    <w:p w14:paraId="79A37AF2" w14:textId="77777777" w:rsidR="00076856" w:rsidRPr="00A54222" w:rsidRDefault="00DE4299" w:rsidP="00756C58">
      <w:pPr>
        <w:pBdr>
          <w:top w:val="nil"/>
          <w:left w:val="nil"/>
          <w:bottom w:val="nil"/>
          <w:right w:val="nil"/>
          <w:between w:val="nil"/>
        </w:pBdr>
        <w:spacing w:line="360" w:lineRule="auto"/>
        <w:jc w:val="both"/>
        <w:rPr>
          <w:rFonts w:ascii="Arial" w:eastAsia="Arial" w:hAnsi="Arial" w:cs="Arial"/>
          <w:sz w:val="20"/>
        </w:rPr>
      </w:pPr>
      <w:r w:rsidRPr="00A54222">
        <w:rPr>
          <w:rFonts w:ascii="Arial" w:eastAsia="Arial" w:hAnsi="Arial" w:cs="Arial"/>
          <w:sz w:val="20"/>
        </w:rPr>
        <w:t>Ukupni broj studenata koji su riješili anketu iznosi 1476. Nakon analize podatka isključena su 53 studenta koji su na pitanje o dobi odgovorili da su stariji od 30 godina. Stoga su na kraju analizirani odgovori 1423 ispitanika. Kriterij dobi do 30 godina odabran je kako bi se isključili ispitanici koji nisu istinito ispunili upitnik (npr. odgovorili su da je njihova dob 150 godina), ali i oni koji nisu završili fakultet u periodu dužem od 12 godina (dvostruko redovito trajanje najdužeg studija, medicine) nakon 18. godine (očekivana dob završetka srednje škole). Raspodjela riješenosti ankete po pojedinim sastavnicama se nalazi u Tablici 1.</w:t>
      </w:r>
    </w:p>
    <w:p w14:paraId="02B88307" w14:textId="77777777" w:rsidR="00076856" w:rsidRDefault="00076856" w:rsidP="00756C58">
      <w:pPr>
        <w:pBdr>
          <w:top w:val="nil"/>
          <w:left w:val="nil"/>
          <w:bottom w:val="nil"/>
          <w:right w:val="nil"/>
          <w:between w:val="nil"/>
        </w:pBdr>
        <w:spacing w:line="360" w:lineRule="auto"/>
        <w:jc w:val="both"/>
        <w:rPr>
          <w:rFonts w:ascii="Arial" w:eastAsia="Arial" w:hAnsi="Arial" w:cs="Arial"/>
        </w:rPr>
      </w:pPr>
    </w:p>
    <w:p w14:paraId="7B875F55" w14:textId="77777777" w:rsidR="00076856" w:rsidRPr="00A54222" w:rsidRDefault="00DE4299" w:rsidP="00756C58">
      <w:pPr>
        <w:spacing w:line="360" w:lineRule="auto"/>
        <w:rPr>
          <w:rFonts w:ascii="Arial" w:eastAsia="Arial" w:hAnsi="Arial" w:cs="Arial"/>
          <w:sz w:val="20"/>
        </w:rPr>
      </w:pPr>
      <w:r w:rsidRPr="00A54222">
        <w:rPr>
          <w:rFonts w:ascii="Arial" w:eastAsia="Arial" w:hAnsi="Arial" w:cs="Arial"/>
          <w:b/>
          <w:sz w:val="20"/>
        </w:rPr>
        <w:t>Tablica 1.</w:t>
      </w:r>
      <w:r w:rsidRPr="00A54222">
        <w:rPr>
          <w:rFonts w:ascii="Arial" w:eastAsia="Arial" w:hAnsi="Arial" w:cs="Arial"/>
          <w:sz w:val="20"/>
        </w:rPr>
        <w:tab/>
        <w:t xml:space="preserve">Broj i postotak studenta prema fakultetu u uzorku </w:t>
      </w:r>
    </w:p>
    <w:tbl>
      <w:tblPr>
        <w:tblStyle w:val="af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2092"/>
        <w:gridCol w:w="2977"/>
      </w:tblGrid>
      <w:tr w:rsidR="00076856" w14:paraId="60D0617F" w14:textId="77777777">
        <w:trPr>
          <w:trHeight w:val="992"/>
        </w:trPr>
        <w:tc>
          <w:tcPr>
            <w:tcW w:w="4253" w:type="dxa"/>
            <w:tcBorders>
              <w:top w:val="single" w:sz="12" w:space="0" w:color="000000"/>
              <w:left w:val="single" w:sz="12" w:space="0" w:color="000000"/>
              <w:bottom w:val="single" w:sz="12" w:space="0" w:color="000000"/>
            </w:tcBorders>
            <w:shd w:val="clear" w:color="auto" w:fill="D9D9D9"/>
            <w:vAlign w:val="center"/>
          </w:tcPr>
          <w:p w14:paraId="13613E23" w14:textId="77777777" w:rsidR="00076856" w:rsidRDefault="00DE4299" w:rsidP="00756C58">
            <w:pPr>
              <w:spacing w:line="360" w:lineRule="auto"/>
              <w:rPr>
                <w:rFonts w:ascii="Arial" w:eastAsia="Arial" w:hAnsi="Arial" w:cs="Arial"/>
                <w:sz w:val="20"/>
                <w:szCs w:val="20"/>
              </w:rPr>
            </w:pPr>
            <w:r>
              <w:rPr>
                <w:rFonts w:ascii="Arial" w:eastAsia="Arial" w:hAnsi="Arial" w:cs="Arial"/>
                <w:sz w:val="20"/>
                <w:szCs w:val="20"/>
              </w:rPr>
              <w:t>Fakultet</w:t>
            </w:r>
          </w:p>
        </w:tc>
        <w:tc>
          <w:tcPr>
            <w:tcW w:w="2092" w:type="dxa"/>
            <w:tcBorders>
              <w:top w:val="single" w:sz="12" w:space="0" w:color="000000"/>
              <w:bottom w:val="single" w:sz="12" w:space="0" w:color="000000"/>
            </w:tcBorders>
            <w:shd w:val="clear" w:color="auto" w:fill="D9D9D9"/>
            <w:vAlign w:val="center"/>
          </w:tcPr>
          <w:p w14:paraId="149991AB" w14:textId="77777777" w:rsidR="00076856" w:rsidRDefault="00DE4299" w:rsidP="00756C58">
            <w:pPr>
              <w:spacing w:line="360" w:lineRule="auto"/>
              <w:rPr>
                <w:rFonts w:ascii="Arial" w:eastAsia="Arial" w:hAnsi="Arial" w:cs="Arial"/>
                <w:sz w:val="20"/>
                <w:szCs w:val="20"/>
              </w:rPr>
            </w:pPr>
            <w:r>
              <w:rPr>
                <w:rFonts w:ascii="Arial" w:eastAsia="Arial" w:hAnsi="Arial" w:cs="Arial"/>
                <w:sz w:val="20"/>
                <w:szCs w:val="20"/>
              </w:rPr>
              <w:t xml:space="preserve">Broj </w:t>
            </w:r>
          </w:p>
          <w:p w14:paraId="62761580" w14:textId="77777777" w:rsidR="00076856" w:rsidRDefault="00DE4299" w:rsidP="00756C58">
            <w:pPr>
              <w:spacing w:line="360" w:lineRule="auto"/>
              <w:rPr>
                <w:rFonts w:ascii="Arial" w:eastAsia="Arial" w:hAnsi="Arial" w:cs="Arial"/>
                <w:sz w:val="20"/>
                <w:szCs w:val="20"/>
              </w:rPr>
            </w:pPr>
            <w:r>
              <w:rPr>
                <w:rFonts w:ascii="Arial" w:eastAsia="Arial" w:hAnsi="Arial" w:cs="Arial"/>
                <w:sz w:val="20"/>
                <w:szCs w:val="20"/>
              </w:rPr>
              <w:t>ispitanika (N)</w:t>
            </w:r>
          </w:p>
        </w:tc>
        <w:tc>
          <w:tcPr>
            <w:tcW w:w="2977" w:type="dxa"/>
            <w:tcBorders>
              <w:top w:val="single" w:sz="12" w:space="0" w:color="000000"/>
              <w:bottom w:val="single" w:sz="12" w:space="0" w:color="000000"/>
              <w:right w:val="single" w:sz="12" w:space="0" w:color="000000"/>
            </w:tcBorders>
            <w:shd w:val="clear" w:color="auto" w:fill="D9D9D9"/>
            <w:vAlign w:val="center"/>
          </w:tcPr>
          <w:p w14:paraId="6723BB2B" w14:textId="77777777" w:rsidR="00076856" w:rsidRDefault="00DE4299" w:rsidP="00756C58">
            <w:pPr>
              <w:spacing w:line="360" w:lineRule="auto"/>
              <w:rPr>
                <w:rFonts w:ascii="Arial" w:eastAsia="Arial" w:hAnsi="Arial" w:cs="Arial"/>
                <w:sz w:val="20"/>
                <w:szCs w:val="20"/>
              </w:rPr>
            </w:pPr>
            <w:r>
              <w:rPr>
                <w:rFonts w:ascii="Arial" w:eastAsia="Arial" w:hAnsi="Arial" w:cs="Arial"/>
                <w:sz w:val="20"/>
                <w:szCs w:val="20"/>
              </w:rPr>
              <w:t>Postotak (%)</w:t>
            </w:r>
          </w:p>
        </w:tc>
      </w:tr>
      <w:tr w:rsidR="00076856" w14:paraId="08EFD25C" w14:textId="77777777">
        <w:trPr>
          <w:trHeight w:val="425"/>
        </w:trPr>
        <w:tc>
          <w:tcPr>
            <w:tcW w:w="4253" w:type="dxa"/>
            <w:tcBorders>
              <w:top w:val="single" w:sz="12" w:space="0" w:color="000000"/>
              <w:left w:val="single" w:sz="12" w:space="0" w:color="000000"/>
            </w:tcBorders>
            <w:vAlign w:val="center"/>
          </w:tcPr>
          <w:p w14:paraId="35392F29" w14:textId="77777777" w:rsidR="00076856" w:rsidRDefault="00DE4299" w:rsidP="00756C58">
            <w:pPr>
              <w:spacing w:line="360" w:lineRule="auto"/>
              <w:rPr>
                <w:rFonts w:ascii="Arial" w:eastAsia="Arial" w:hAnsi="Arial" w:cs="Arial"/>
                <w:sz w:val="20"/>
                <w:szCs w:val="20"/>
              </w:rPr>
            </w:pPr>
            <w:r>
              <w:rPr>
                <w:rFonts w:ascii="Arial" w:eastAsia="Arial" w:hAnsi="Arial" w:cs="Arial"/>
                <w:sz w:val="20"/>
                <w:szCs w:val="20"/>
              </w:rPr>
              <w:t>Medicinski fakultet u Zagrebu</w:t>
            </w:r>
          </w:p>
        </w:tc>
        <w:tc>
          <w:tcPr>
            <w:tcW w:w="2092" w:type="dxa"/>
            <w:tcBorders>
              <w:top w:val="single" w:sz="12" w:space="0" w:color="000000"/>
            </w:tcBorders>
            <w:vAlign w:val="center"/>
          </w:tcPr>
          <w:p w14:paraId="6DD3128E" w14:textId="77777777" w:rsidR="00076856" w:rsidRDefault="00DE4299" w:rsidP="00756C58">
            <w:pPr>
              <w:spacing w:line="360" w:lineRule="auto"/>
              <w:jc w:val="right"/>
              <w:rPr>
                <w:rFonts w:ascii="Arial" w:eastAsia="Arial" w:hAnsi="Arial" w:cs="Arial"/>
                <w:sz w:val="20"/>
                <w:szCs w:val="20"/>
              </w:rPr>
            </w:pPr>
            <w:r>
              <w:rPr>
                <w:rFonts w:ascii="Arial" w:eastAsia="Arial" w:hAnsi="Arial" w:cs="Arial"/>
                <w:color w:val="010205"/>
                <w:sz w:val="20"/>
                <w:szCs w:val="20"/>
              </w:rPr>
              <w:t>317</w:t>
            </w:r>
          </w:p>
        </w:tc>
        <w:tc>
          <w:tcPr>
            <w:tcW w:w="2977" w:type="dxa"/>
            <w:tcBorders>
              <w:top w:val="single" w:sz="12" w:space="0" w:color="000000"/>
              <w:right w:val="single" w:sz="12" w:space="0" w:color="000000"/>
            </w:tcBorders>
            <w:vAlign w:val="center"/>
          </w:tcPr>
          <w:p w14:paraId="557BC98C" w14:textId="77777777" w:rsidR="00076856" w:rsidRDefault="00DE4299" w:rsidP="00756C58">
            <w:pPr>
              <w:spacing w:line="360" w:lineRule="auto"/>
              <w:jc w:val="right"/>
              <w:rPr>
                <w:rFonts w:ascii="Arial" w:eastAsia="Arial" w:hAnsi="Arial" w:cs="Arial"/>
                <w:sz w:val="20"/>
                <w:szCs w:val="20"/>
              </w:rPr>
            </w:pPr>
            <w:r>
              <w:rPr>
                <w:rFonts w:ascii="Arial" w:eastAsia="Arial" w:hAnsi="Arial" w:cs="Arial"/>
                <w:color w:val="010205"/>
                <w:sz w:val="20"/>
                <w:szCs w:val="20"/>
              </w:rPr>
              <w:t>22,3</w:t>
            </w:r>
          </w:p>
        </w:tc>
      </w:tr>
      <w:tr w:rsidR="00076856" w14:paraId="3B0C7C8B" w14:textId="77777777">
        <w:trPr>
          <w:trHeight w:val="425"/>
        </w:trPr>
        <w:tc>
          <w:tcPr>
            <w:tcW w:w="4253" w:type="dxa"/>
            <w:tcBorders>
              <w:left w:val="single" w:sz="12" w:space="0" w:color="000000"/>
            </w:tcBorders>
            <w:vAlign w:val="center"/>
          </w:tcPr>
          <w:p w14:paraId="7365C65F" w14:textId="77777777" w:rsidR="00076856" w:rsidRDefault="00DE4299" w:rsidP="00756C58">
            <w:pPr>
              <w:spacing w:line="360" w:lineRule="auto"/>
              <w:rPr>
                <w:rFonts w:ascii="Arial" w:eastAsia="Arial" w:hAnsi="Arial" w:cs="Arial"/>
                <w:sz w:val="20"/>
                <w:szCs w:val="20"/>
              </w:rPr>
            </w:pPr>
            <w:r>
              <w:rPr>
                <w:rFonts w:ascii="Arial" w:eastAsia="Arial" w:hAnsi="Arial" w:cs="Arial"/>
                <w:sz w:val="20"/>
                <w:szCs w:val="20"/>
              </w:rPr>
              <w:t>Medicinski fakultet u Rijeci</w:t>
            </w:r>
          </w:p>
        </w:tc>
        <w:tc>
          <w:tcPr>
            <w:tcW w:w="2092" w:type="dxa"/>
            <w:vAlign w:val="center"/>
          </w:tcPr>
          <w:p w14:paraId="22781822" w14:textId="77777777" w:rsidR="00076856" w:rsidRDefault="00DE4299" w:rsidP="00756C58">
            <w:pPr>
              <w:spacing w:line="360" w:lineRule="auto"/>
              <w:jc w:val="right"/>
              <w:rPr>
                <w:rFonts w:ascii="Arial" w:eastAsia="Arial" w:hAnsi="Arial" w:cs="Arial"/>
                <w:sz w:val="20"/>
                <w:szCs w:val="20"/>
              </w:rPr>
            </w:pPr>
            <w:r>
              <w:rPr>
                <w:rFonts w:ascii="Arial" w:eastAsia="Arial" w:hAnsi="Arial" w:cs="Arial"/>
                <w:color w:val="010205"/>
                <w:sz w:val="20"/>
                <w:szCs w:val="20"/>
              </w:rPr>
              <w:t>125</w:t>
            </w:r>
          </w:p>
        </w:tc>
        <w:tc>
          <w:tcPr>
            <w:tcW w:w="2977" w:type="dxa"/>
            <w:tcBorders>
              <w:right w:val="single" w:sz="12" w:space="0" w:color="000000"/>
            </w:tcBorders>
            <w:vAlign w:val="center"/>
          </w:tcPr>
          <w:p w14:paraId="7442A04C" w14:textId="77777777" w:rsidR="00076856" w:rsidRDefault="00DE4299" w:rsidP="00756C58">
            <w:pPr>
              <w:spacing w:line="360" w:lineRule="auto"/>
              <w:jc w:val="right"/>
              <w:rPr>
                <w:rFonts w:ascii="Arial" w:eastAsia="Arial" w:hAnsi="Arial" w:cs="Arial"/>
                <w:sz w:val="20"/>
                <w:szCs w:val="20"/>
              </w:rPr>
            </w:pPr>
            <w:r>
              <w:rPr>
                <w:rFonts w:ascii="Arial" w:eastAsia="Arial" w:hAnsi="Arial" w:cs="Arial"/>
                <w:color w:val="010205"/>
                <w:sz w:val="20"/>
                <w:szCs w:val="20"/>
              </w:rPr>
              <w:t>8,8</w:t>
            </w:r>
          </w:p>
        </w:tc>
      </w:tr>
      <w:tr w:rsidR="00076856" w14:paraId="443BA120" w14:textId="77777777">
        <w:trPr>
          <w:trHeight w:val="425"/>
        </w:trPr>
        <w:tc>
          <w:tcPr>
            <w:tcW w:w="4253" w:type="dxa"/>
            <w:tcBorders>
              <w:left w:val="single" w:sz="12" w:space="0" w:color="000000"/>
            </w:tcBorders>
            <w:vAlign w:val="center"/>
          </w:tcPr>
          <w:p w14:paraId="6912C0ED" w14:textId="77777777" w:rsidR="00076856" w:rsidRDefault="00DE4299" w:rsidP="00756C58">
            <w:pPr>
              <w:spacing w:line="360" w:lineRule="auto"/>
              <w:rPr>
                <w:rFonts w:ascii="Arial" w:eastAsia="Arial" w:hAnsi="Arial" w:cs="Arial"/>
                <w:sz w:val="20"/>
                <w:szCs w:val="20"/>
              </w:rPr>
            </w:pPr>
            <w:r>
              <w:rPr>
                <w:rFonts w:ascii="Arial" w:eastAsia="Arial" w:hAnsi="Arial" w:cs="Arial"/>
                <w:sz w:val="20"/>
                <w:szCs w:val="20"/>
              </w:rPr>
              <w:t>Filozofski fakultet u Zagrebu</w:t>
            </w:r>
          </w:p>
        </w:tc>
        <w:tc>
          <w:tcPr>
            <w:tcW w:w="2092" w:type="dxa"/>
            <w:vAlign w:val="center"/>
          </w:tcPr>
          <w:p w14:paraId="0F803B89" w14:textId="77777777" w:rsidR="00076856" w:rsidRDefault="00DE4299" w:rsidP="00756C58">
            <w:pPr>
              <w:spacing w:line="360" w:lineRule="auto"/>
              <w:jc w:val="right"/>
              <w:rPr>
                <w:rFonts w:ascii="Arial" w:eastAsia="Arial" w:hAnsi="Arial" w:cs="Arial"/>
                <w:sz w:val="20"/>
                <w:szCs w:val="20"/>
              </w:rPr>
            </w:pPr>
            <w:r>
              <w:rPr>
                <w:rFonts w:ascii="Arial" w:eastAsia="Arial" w:hAnsi="Arial" w:cs="Arial"/>
                <w:color w:val="010205"/>
                <w:sz w:val="20"/>
                <w:szCs w:val="20"/>
              </w:rPr>
              <w:t>339</w:t>
            </w:r>
          </w:p>
        </w:tc>
        <w:tc>
          <w:tcPr>
            <w:tcW w:w="2977" w:type="dxa"/>
            <w:tcBorders>
              <w:right w:val="single" w:sz="12" w:space="0" w:color="000000"/>
            </w:tcBorders>
            <w:vAlign w:val="center"/>
          </w:tcPr>
          <w:p w14:paraId="4578BEC7" w14:textId="77777777" w:rsidR="00076856" w:rsidRDefault="00DE4299" w:rsidP="00756C58">
            <w:pPr>
              <w:spacing w:line="360" w:lineRule="auto"/>
              <w:jc w:val="right"/>
              <w:rPr>
                <w:rFonts w:ascii="Arial" w:eastAsia="Arial" w:hAnsi="Arial" w:cs="Arial"/>
                <w:sz w:val="20"/>
                <w:szCs w:val="20"/>
              </w:rPr>
            </w:pPr>
            <w:r>
              <w:rPr>
                <w:rFonts w:ascii="Arial" w:eastAsia="Arial" w:hAnsi="Arial" w:cs="Arial"/>
                <w:color w:val="010205"/>
                <w:sz w:val="20"/>
                <w:szCs w:val="20"/>
              </w:rPr>
              <w:t>23,8</w:t>
            </w:r>
          </w:p>
        </w:tc>
      </w:tr>
      <w:tr w:rsidR="00076856" w14:paraId="7E5D71B1" w14:textId="77777777">
        <w:trPr>
          <w:trHeight w:val="425"/>
        </w:trPr>
        <w:tc>
          <w:tcPr>
            <w:tcW w:w="4253" w:type="dxa"/>
            <w:tcBorders>
              <w:left w:val="single" w:sz="12" w:space="0" w:color="000000"/>
            </w:tcBorders>
            <w:vAlign w:val="center"/>
          </w:tcPr>
          <w:p w14:paraId="3EA11161" w14:textId="77777777" w:rsidR="00076856" w:rsidRDefault="00DE4299" w:rsidP="00756C58">
            <w:pPr>
              <w:spacing w:line="360" w:lineRule="auto"/>
              <w:rPr>
                <w:rFonts w:ascii="Arial" w:eastAsia="Arial" w:hAnsi="Arial" w:cs="Arial"/>
                <w:sz w:val="20"/>
                <w:szCs w:val="20"/>
              </w:rPr>
            </w:pPr>
            <w:r>
              <w:rPr>
                <w:rFonts w:ascii="Arial" w:eastAsia="Arial" w:hAnsi="Arial" w:cs="Arial"/>
                <w:sz w:val="20"/>
                <w:szCs w:val="20"/>
              </w:rPr>
              <w:t>Akademija dramske umjetnosti u Zagrebu</w:t>
            </w:r>
          </w:p>
        </w:tc>
        <w:tc>
          <w:tcPr>
            <w:tcW w:w="2092" w:type="dxa"/>
            <w:vAlign w:val="center"/>
          </w:tcPr>
          <w:p w14:paraId="44249E64" w14:textId="77777777" w:rsidR="00076856" w:rsidRDefault="00DE4299" w:rsidP="00756C58">
            <w:pPr>
              <w:spacing w:line="360" w:lineRule="auto"/>
              <w:jc w:val="right"/>
              <w:rPr>
                <w:rFonts w:ascii="Arial" w:eastAsia="Arial" w:hAnsi="Arial" w:cs="Arial"/>
                <w:sz w:val="20"/>
                <w:szCs w:val="20"/>
              </w:rPr>
            </w:pPr>
            <w:r>
              <w:rPr>
                <w:rFonts w:ascii="Arial" w:eastAsia="Arial" w:hAnsi="Arial" w:cs="Arial"/>
                <w:color w:val="010205"/>
                <w:sz w:val="20"/>
                <w:szCs w:val="20"/>
              </w:rPr>
              <w:t>35</w:t>
            </w:r>
          </w:p>
        </w:tc>
        <w:tc>
          <w:tcPr>
            <w:tcW w:w="2977" w:type="dxa"/>
            <w:tcBorders>
              <w:right w:val="single" w:sz="12" w:space="0" w:color="000000"/>
            </w:tcBorders>
            <w:vAlign w:val="center"/>
          </w:tcPr>
          <w:p w14:paraId="4BDD283C" w14:textId="77777777" w:rsidR="00076856" w:rsidRDefault="00DE4299" w:rsidP="00756C58">
            <w:pPr>
              <w:spacing w:line="360" w:lineRule="auto"/>
              <w:jc w:val="right"/>
              <w:rPr>
                <w:rFonts w:ascii="Arial" w:eastAsia="Arial" w:hAnsi="Arial" w:cs="Arial"/>
                <w:sz w:val="20"/>
                <w:szCs w:val="20"/>
              </w:rPr>
            </w:pPr>
            <w:r>
              <w:rPr>
                <w:rFonts w:ascii="Arial" w:eastAsia="Arial" w:hAnsi="Arial" w:cs="Arial"/>
                <w:color w:val="010205"/>
                <w:sz w:val="20"/>
                <w:szCs w:val="20"/>
              </w:rPr>
              <w:t>2,5</w:t>
            </w:r>
          </w:p>
        </w:tc>
      </w:tr>
      <w:tr w:rsidR="00076856" w14:paraId="159B2198" w14:textId="77777777">
        <w:trPr>
          <w:trHeight w:val="425"/>
        </w:trPr>
        <w:tc>
          <w:tcPr>
            <w:tcW w:w="4253" w:type="dxa"/>
            <w:tcBorders>
              <w:left w:val="single" w:sz="12" w:space="0" w:color="000000"/>
            </w:tcBorders>
            <w:vAlign w:val="center"/>
          </w:tcPr>
          <w:p w14:paraId="61DF82B8" w14:textId="77777777" w:rsidR="00076856" w:rsidRDefault="00DE4299" w:rsidP="00756C58">
            <w:pPr>
              <w:spacing w:line="360" w:lineRule="auto"/>
              <w:rPr>
                <w:rFonts w:ascii="Arial" w:eastAsia="Arial" w:hAnsi="Arial" w:cs="Arial"/>
                <w:sz w:val="20"/>
                <w:szCs w:val="20"/>
              </w:rPr>
            </w:pPr>
            <w:r>
              <w:rPr>
                <w:rFonts w:ascii="Arial" w:eastAsia="Arial" w:hAnsi="Arial" w:cs="Arial"/>
                <w:sz w:val="20"/>
                <w:szCs w:val="20"/>
              </w:rPr>
              <w:t>Akademija za umjetnost i kulturu u Osijeku</w:t>
            </w:r>
          </w:p>
        </w:tc>
        <w:tc>
          <w:tcPr>
            <w:tcW w:w="2092" w:type="dxa"/>
            <w:vAlign w:val="center"/>
          </w:tcPr>
          <w:p w14:paraId="56A6AA94" w14:textId="77777777" w:rsidR="00076856" w:rsidRDefault="00DE4299" w:rsidP="00756C58">
            <w:pPr>
              <w:spacing w:line="360" w:lineRule="auto"/>
              <w:ind w:left="60" w:right="60"/>
              <w:jc w:val="right"/>
              <w:rPr>
                <w:rFonts w:ascii="Arial" w:eastAsia="Arial" w:hAnsi="Arial" w:cs="Arial"/>
                <w:color w:val="010205"/>
                <w:sz w:val="20"/>
                <w:szCs w:val="20"/>
              </w:rPr>
            </w:pPr>
            <w:r>
              <w:rPr>
                <w:rFonts w:ascii="Arial" w:eastAsia="Arial" w:hAnsi="Arial" w:cs="Arial"/>
                <w:color w:val="010205"/>
                <w:sz w:val="20"/>
                <w:szCs w:val="20"/>
              </w:rPr>
              <w:t>74</w:t>
            </w:r>
          </w:p>
        </w:tc>
        <w:tc>
          <w:tcPr>
            <w:tcW w:w="2977" w:type="dxa"/>
            <w:tcBorders>
              <w:right w:val="single" w:sz="12" w:space="0" w:color="000000"/>
            </w:tcBorders>
            <w:vAlign w:val="center"/>
          </w:tcPr>
          <w:p w14:paraId="52EAD285" w14:textId="77777777" w:rsidR="00076856" w:rsidRDefault="00DE4299" w:rsidP="00756C58">
            <w:pPr>
              <w:spacing w:line="360" w:lineRule="auto"/>
              <w:jc w:val="right"/>
              <w:rPr>
                <w:rFonts w:ascii="Arial" w:eastAsia="Arial" w:hAnsi="Arial" w:cs="Arial"/>
                <w:sz w:val="20"/>
                <w:szCs w:val="20"/>
              </w:rPr>
            </w:pPr>
            <w:r>
              <w:rPr>
                <w:rFonts w:ascii="Arial" w:eastAsia="Arial" w:hAnsi="Arial" w:cs="Arial"/>
                <w:color w:val="010205"/>
                <w:sz w:val="20"/>
                <w:szCs w:val="20"/>
              </w:rPr>
              <w:t>5,2</w:t>
            </w:r>
          </w:p>
        </w:tc>
      </w:tr>
      <w:tr w:rsidR="00076856" w14:paraId="16AC673E" w14:textId="77777777">
        <w:trPr>
          <w:trHeight w:val="425"/>
        </w:trPr>
        <w:tc>
          <w:tcPr>
            <w:tcW w:w="4253" w:type="dxa"/>
            <w:tcBorders>
              <w:left w:val="single" w:sz="12" w:space="0" w:color="000000"/>
              <w:bottom w:val="single" w:sz="12" w:space="0" w:color="000000"/>
            </w:tcBorders>
            <w:vAlign w:val="center"/>
          </w:tcPr>
          <w:p w14:paraId="7B647F8F" w14:textId="77777777" w:rsidR="00076856" w:rsidRDefault="00DE4299" w:rsidP="00756C58">
            <w:pPr>
              <w:spacing w:line="360" w:lineRule="auto"/>
              <w:rPr>
                <w:rFonts w:ascii="Arial" w:eastAsia="Arial" w:hAnsi="Arial" w:cs="Arial"/>
                <w:sz w:val="20"/>
                <w:szCs w:val="20"/>
              </w:rPr>
            </w:pPr>
            <w:r>
              <w:rPr>
                <w:rFonts w:ascii="Arial" w:eastAsia="Arial" w:hAnsi="Arial" w:cs="Arial"/>
                <w:sz w:val="20"/>
                <w:szCs w:val="20"/>
              </w:rPr>
              <w:t>Pravni fakultet u Zagrebu</w:t>
            </w:r>
          </w:p>
        </w:tc>
        <w:tc>
          <w:tcPr>
            <w:tcW w:w="2092" w:type="dxa"/>
            <w:tcBorders>
              <w:bottom w:val="single" w:sz="12" w:space="0" w:color="000000"/>
            </w:tcBorders>
            <w:vAlign w:val="center"/>
          </w:tcPr>
          <w:p w14:paraId="597E8BC1" w14:textId="77777777" w:rsidR="00076856" w:rsidRDefault="00DE4299" w:rsidP="00756C58">
            <w:pPr>
              <w:spacing w:line="360" w:lineRule="auto"/>
              <w:jc w:val="right"/>
              <w:rPr>
                <w:rFonts w:ascii="Arial" w:eastAsia="Arial" w:hAnsi="Arial" w:cs="Arial"/>
                <w:sz w:val="20"/>
                <w:szCs w:val="20"/>
              </w:rPr>
            </w:pPr>
            <w:r>
              <w:rPr>
                <w:rFonts w:ascii="Arial" w:eastAsia="Arial" w:hAnsi="Arial" w:cs="Arial"/>
                <w:color w:val="010205"/>
                <w:sz w:val="20"/>
                <w:szCs w:val="20"/>
              </w:rPr>
              <w:t>533</w:t>
            </w:r>
          </w:p>
        </w:tc>
        <w:tc>
          <w:tcPr>
            <w:tcW w:w="2977" w:type="dxa"/>
            <w:tcBorders>
              <w:bottom w:val="single" w:sz="12" w:space="0" w:color="000000"/>
              <w:right w:val="single" w:sz="12" w:space="0" w:color="000000"/>
            </w:tcBorders>
            <w:vAlign w:val="center"/>
          </w:tcPr>
          <w:p w14:paraId="66C46039" w14:textId="77777777" w:rsidR="00076856" w:rsidRDefault="00DE4299" w:rsidP="00756C58">
            <w:pPr>
              <w:spacing w:line="360" w:lineRule="auto"/>
              <w:jc w:val="right"/>
              <w:rPr>
                <w:rFonts w:ascii="Arial" w:eastAsia="Arial" w:hAnsi="Arial" w:cs="Arial"/>
                <w:sz w:val="20"/>
                <w:szCs w:val="20"/>
              </w:rPr>
            </w:pPr>
            <w:r>
              <w:rPr>
                <w:rFonts w:ascii="Arial" w:eastAsia="Arial" w:hAnsi="Arial" w:cs="Arial"/>
                <w:color w:val="010205"/>
                <w:sz w:val="20"/>
                <w:szCs w:val="20"/>
              </w:rPr>
              <w:t>37,5</w:t>
            </w:r>
          </w:p>
        </w:tc>
      </w:tr>
      <w:tr w:rsidR="00076856" w14:paraId="66F21CD6" w14:textId="77777777">
        <w:trPr>
          <w:trHeight w:val="425"/>
        </w:trPr>
        <w:tc>
          <w:tcPr>
            <w:tcW w:w="4253" w:type="dxa"/>
            <w:tcBorders>
              <w:top w:val="single" w:sz="12" w:space="0" w:color="000000"/>
              <w:left w:val="single" w:sz="12" w:space="0" w:color="000000"/>
              <w:bottom w:val="single" w:sz="12" w:space="0" w:color="000000"/>
            </w:tcBorders>
            <w:shd w:val="clear" w:color="auto" w:fill="D9D9D9"/>
            <w:vAlign w:val="center"/>
          </w:tcPr>
          <w:p w14:paraId="6F0164A7" w14:textId="77777777" w:rsidR="00076856" w:rsidRDefault="00DE4299" w:rsidP="00756C58">
            <w:pPr>
              <w:spacing w:line="360" w:lineRule="auto"/>
              <w:rPr>
                <w:rFonts w:ascii="Arial" w:eastAsia="Arial" w:hAnsi="Arial" w:cs="Arial"/>
                <w:sz w:val="20"/>
                <w:szCs w:val="20"/>
              </w:rPr>
            </w:pPr>
            <w:r>
              <w:rPr>
                <w:rFonts w:ascii="Arial" w:eastAsia="Arial" w:hAnsi="Arial" w:cs="Arial"/>
                <w:sz w:val="20"/>
                <w:szCs w:val="20"/>
              </w:rPr>
              <w:t>Ukupno</w:t>
            </w:r>
          </w:p>
        </w:tc>
        <w:tc>
          <w:tcPr>
            <w:tcW w:w="2092" w:type="dxa"/>
            <w:tcBorders>
              <w:top w:val="single" w:sz="12" w:space="0" w:color="000000"/>
              <w:bottom w:val="single" w:sz="12" w:space="0" w:color="000000"/>
            </w:tcBorders>
            <w:shd w:val="clear" w:color="auto" w:fill="D9D9D9"/>
            <w:vAlign w:val="center"/>
          </w:tcPr>
          <w:p w14:paraId="237F3E2D" w14:textId="77777777" w:rsidR="00076856" w:rsidRDefault="00DE4299" w:rsidP="00756C58">
            <w:pPr>
              <w:spacing w:line="360" w:lineRule="auto"/>
              <w:jc w:val="right"/>
              <w:rPr>
                <w:rFonts w:ascii="Arial" w:eastAsia="Arial" w:hAnsi="Arial" w:cs="Arial"/>
                <w:sz w:val="20"/>
                <w:szCs w:val="20"/>
              </w:rPr>
            </w:pPr>
            <w:r>
              <w:rPr>
                <w:rFonts w:ascii="Arial" w:eastAsia="Arial" w:hAnsi="Arial" w:cs="Arial"/>
                <w:color w:val="010205"/>
                <w:sz w:val="20"/>
                <w:szCs w:val="20"/>
              </w:rPr>
              <w:t>1423</w:t>
            </w:r>
          </w:p>
        </w:tc>
        <w:tc>
          <w:tcPr>
            <w:tcW w:w="2977" w:type="dxa"/>
            <w:tcBorders>
              <w:top w:val="single" w:sz="12" w:space="0" w:color="000000"/>
              <w:bottom w:val="single" w:sz="12" w:space="0" w:color="000000"/>
              <w:right w:val="single" w:sz="12" w:space="0" w:color="000000"/>
            </w:tcBorders>
            <w:shd w:val="clear" w:color="auto" w:fill="D9D9D9"/>
            <w:vAlign w:val="center"/>
          </w:tcPr>
          <w:p w14:paraId="63810037" w14:textId="77777777" w:rsidR="00076856" w:rsidRDefault="00DE4299" w:rsidP="00756C58">
            <w:pPr>
              <w:spacing w:line="360" w:lineRule="auto"/>
              <w:jc w:val="right"/>
              <w:rPr>
                <w:rFonts w:ascii="Arial" w:eastAsia="Arial" w:hAnsi="Arial" w:cs="Arial"/>
                <w:sz w:val="20"/>
                <w:szCs w:val="20"/>
              </w:rPr>
            </w:pPr>
            <w:r>
              <w:rPr>
                <w:rFonts w:ascii="Arial" w:eastAsia="Arial" w:hAnsi="Arial" w:cs="Arial"/>
                <w:color w:val="010205"/>
                <w:sz w:val="20"/>
                <w:szCs w:val="20"/>
              </w:rPr>
              <w:t>100,0</w:t>
            </w:r>
          </w:p>
        </w:tc>
      </w:tr>
    </w:tbl>
    <w:p w14:paraId="71493C4B" w14:textId="77777777" w:rsidR="00076856" w:rsidRDefault="00076856" w:rsidP="00756C58">
      <w:pPr>
        <w:pBdr>
          <w:top w:val="nil"/>
          <w:left w:val="nil"/>
          <w:bottom w:val="nil"/>
          <w:right w:val="nil"/>
          <w:between w:val="nil"/>
        </w:pBdr>
        <w:spacing w:line="360" w:lineRule="auto"/>
        <w:rPr>
          <w:rFonts w:ascii="Arial" w:eastAsia="Arial" w:hAnsi="Arial" w:cs="Arial"/>
          <w:b/>
        </w:rPr>
      </w:pPr>
    </w:p>
    <w:p w14:paraId="219B016F" w14:textId="77777777" w:rsidR="00386201" w:rsidRDefault="00386201" w:rsidP="00756C58">
      <w:pPr>
        <w:pStyle w:val="Heading2"/>
        <w:spacing w:line="360" w:lineRule="auto"/>
        <w:ind w:firstLine="720"/>
        <w:rPr>
          <w:rFonts w:ascii="Arial" w:hAnsi="Arial" w:cs="Arial"/>
          <w:sz w:val="24"/>
          <w:szCs w:val="24"/>
        </w:rPr>
      </w:pPr>
      <w:bookmarkStart w:id="9" w:name="_heading=h.f52cpvb78zza" w:colFirst="0" w:colLast="0"/>
      <w:bookmarkEnd w:id="9"/>
      <w:r>
        <w:rPr>
          <w:rFonts w:ascii="Arial" w:hAnsi="Arial" w:cs="Arial"/>
          <w:sz w:val="24"/>
          <w:szCs w:val="24"/>
        </w:rPr>
        <w:br w:type="page"/>
      </w:r>
    </w:p>
    <w:p w14:paraId="5292C049" w14:textId="77777777" w:rsidR="00076856" w:rsidRPr="00DF5A02" w:rsidRDefault="00DF5A02" w:rsidP="00756C58">
      <w:pPr>
        <w:pStyle w:val="Heading2"/>
        <w:spacing w:line="360" w:lineRule="auto"/>
        <w:ind w:firstLine="720"/>
        <w:rPr>
          <w:rFonts w:ascii="Arial" w:hAnsi="Arial" w:cs="Arial"/>
          <w:sz w:val="24"/>
          <w:szCs w:val="24"/>
        </w:rPr>
      </w:pPr>
      <w:bookmarkStart w:id="10" w:name="_Toc75635797"/>
      <w:r w:rsidRPr="00DF5A02">
        <w:rPr>
          <w:rFonts w:ascii="Arial" w:hAnsi="Arial" w:cs="Arial"/>
          <w:sz w:val="24"/>
          <w:szCs w:val="24"/>
        </w:rPr>
        <w:lastRenderedPageBreak/>
        <w:t xml:space="preserve">4.1. </w:t>
      </w:r>
      <w:r w:rsidR="001C6B46">
        <w:rPr>
          <w:rFonts w:ascii="Arial" w:hAnsi="Arial" w:cs="Arial"/>
          <w:sz w:val="24"/>
          <w:szCs w:val="24"/>
        </w:rPr>
        <w:tab/>
      </w:r>
      <w:r w:rsidR="00DE4299" w:rsidRPr="00DF5A02">
        <w:rPr>
          <w:rFonts w:ascii="Arial" w:hAnsi="Arial" w:cs="Arial"/>
          <w:sz w:val="24"/>
          <w:szCs w:val="24"/>
        </w:rPr>
        <w:t>Fagerströmov test ovisnosti o nikotinu</w:t>
      </w:r>
      <w:bookmarkEnd w:id="10"/>
    </w:p>
    <w:p w14:paraId="62E79CDD" w14:textId="2CDA2066" w:rsidR="00076856" w:rsidRPr="00A54222" w:rsidRDefault="00DE4299" w:rsidP="00756C58">
      <w:pPr>
        <w:spacing w:before="240" w:after="240" w:line="360" w:lineRule="auto"/>
        <w:jc w:val="both"/>
        <w:rPr>
          <w:rFonts w:ascii="Arial" w:eastAsia="Arial" w:hAnsi="Arial" w:cs="Arial"/>
          <w:sz w:val="20"/>
        </w:rPr>
      </w:pPr>
      <w:r w:rsidRPr="00A54222">
        <w:rPr>
          <w:rFonts w:ascii="Arial" w:eastAsia="Arial" w:hAnsi="Arial" w:cs="Arial"/>
          <w:b/>
          <w:i/>
          <w:sz w:val="20"/>
        </w:rPr>
        <w:t>Fagerströmov test ovisnosti o nikotinu</w:t>
      </w:r>
      <w:r w:rsidRPr="00A54222">
        <w:rPr>
          <w:rFonts w:ascii="Arial" w:eastAsia="Arial" w:hAnsi="Arial" w:cs="Arial"/>
          <w:sz w:val="20"/>
        </w:rPr>
        <w:t xml:space="preserve"> standardizirani je upitnik koji se koristi u procjeni težine ovisnosti o nikotinu. Nastao je 1991. godine revizijom </w:t>
      </w:r>
      <w:r w:rsidRPr="00A54222">
        <w:rPr>
          <w:rFonts w:ascii="Arial" w:eastAsia="Arial" w:hAnsi="Arial" w:cs="Arial"/>
          <w:i/>
          <w:sz w:val="20"/>
        </w:rPr>
        <w:t>Fagerströmovog upitnika tolerancije</w:t>
      </w:r>
      <w:r w:rsidRPr="00A54222">
        <w:rPr>
          <w:rFonts w:ascii="Arial" w:eastAsia="Arial" w:hAnsi="Arial" w:cs="Arial"/>
          <w:sz w:val="20"/>
        </w:rPr>
        <w:t xml:space="preserve"> iz 1978. godine. Iz njega je kasnije izveden </w:t>
      </w:r>
      <w:r w:rsidRPr="00A54222">
        <w:rPr>
          <w:rFonts w:ascii="Arial" w:eastAsia="Arial" w:hAnsi="Arial" w:cs="Arial"/>
          <w:i/>
          <w:sz w:val="20"/>
        </w:rPr>
        <w:t>Indeks težine pušenja</w:t>
      </w:r>
      <w:r w:rsidRPr="00A54222">
        <w:rPr>
          <w:rFonts w:ascii="Arial" w:eastAsia="Arial" w:hAnsi="Arial" w:cs="Arial"/>
          <w:sz w:val="20"/>
        </w:rPr>
        <w:t xml:space="preserve"> koji se sastoji od prva dva pitanja Fagerströmovog testa ovisnosti o nikotinu</w:t>
      </w:r>
      <w:r w:rsidR="000316ED">
        <w:rPr>
          <w:rFonts w:ascii="Arial" w:eastAsia="Arial" w:hAnsi="Arial" w:cs="Arial"/>
          <w:sz w:val="20"/>
        </w:rPr>
        <w:t xml:space="preserve"> </w:t>
      </w:r>
      <w:r w:rsidR="000316ED">
        <w:rPr>
          <w:rFonts w:ascii="Arial" w:eastAsia="Arial" w:hAnsi="Arial" w:cs="Arial"/>
          <w:sz w:val="20"/>
        </w:rPr>
        <w:fldChar w:fldCharType="begin" w:fldLock="1"/>
      </w:r>
      <w:r w:rsidR="007508FC">
        <w:rPr>
          <w:rFonts w:ascii="Arial" w:eastAsia="Arial" w:hAnsi="Arial" w:cs="Arial"/>
          <w:sz w:val="20"/>
        </w:rPr>
        <w:instrText xml:space="preserve"> ADDIN ZOTERO_ITEM CSL_CITATION {"citationID":"3LsA7oAL","properties":{"formattedCitation":"(19)","plainCitation":"(19)","noteIndex":0},"citationItems":[{"id":"YlNUCLkK/ezYE3d0n","uris":["http://www.mendeley.com/documents/?uuid=f71fc471-4ee5-3acb-ac6a-07a180a04421"],"uri":["http://www.mendeley.com/documents/?uuid=f71fc471-4ee5-3acb-ac6a-07a180a04421"],"itemData":{"DOI":"10.1111/j.1360-0443.1991.tb01879.x","ISSN":"13600443","PMID":"1932883","abstract":"We examine and refine the Fagerström Tolerance Questionnaire (FTQ; Fagerström, 1978). The relation between each FTQ item and biochemical measures of heaviness of smoking was examined in 254 smokers. We found that the nicotine rating item and the inhalation item were unrelated to any of our biochemical measures and these two items were primary contributors to psychometric deficiencies in the FTQ. We also found that a revised scoring of time to the first cigarette of the day (TTF) and number of cigarettes smoked per day (CPD) improved the scale. We present a revision of the FTQ: the Fagerström Test for Nicotine Dependence (FTND). Copyright © 1991, Wiley Blackwell. All rights reserved","author":[{"dropping-particle":"","family":"HEATHERTON","given":"TODD F.","non-dropping-particle":"","parse-names":false,"suffix":""},{"dropping-particle":"","family":"KOZLOWSKI","given":"LYNN T.","non-dropping-particle":"","parse-names":false,"suffix":""},{"dropping-particle":"","family":"FRECKER","given":"RICHARD C.","non-dropping-particle":"","parse-names":false,"suffix":""},{"dropping-particle":"","family":"FAGERSTROM","given":"KARL</w:instrText>
      </w:r>
      <w:r w:rsidR="007508FC">
        <w:rPr>
          <w:rFonts w:ascii="Cambria Math" w:eastAsia="Arial" w:hAnsi="Cambria Math" w:cs="Cambria Math"/>
          <w:sz w:val="20"/>
        </w:rPr>
        <w:instrText>‐</w:instrText>
      </w:r>
      <w:r w:rsidR="007508FC">
        <w:rPr>
          <w:rFonts w:ascii="Arial" w:eastAsia="Arial" w:hAnsi="Arial" w:cs="Arial"/>
          <w:sz w:val="20"/>
        </w:rPr>
        <w:instrText xml:space="preserve">OLOV </w:instrText>
      </w:r>
      <w:r w:rsidR="007508FC">
        <w:rPr>
          <w:rFonts w:ascii="Cambria Math" w:eastAsia="Arial" w:hAnsi="Cambria Math" w:cs="Cambria Math"/>
          <w:sz w:val="20"/>
        </w:rPr>
        <w:instrText>‐</w:instrText>
      </w:r>
      <w:r w:rsidR="007508FC">
        <w:rPr>
          <w:rFonts w:ascii="Arial" w:eastAsia="Arial" w:hAnsi="Arial" w:cs="Arial"/>
          <w:sz w:val="20"/>
        </w:rPr>
        <w:instrText xml:space="preserve">O","non-dropping-particle":"","parse-names":false,"suffix":""}],"container-title":"British Journal of Addiction","id":"ITEM-1","issue":"9","issued":{"date-parts":[["1991","9","1"]]},"page":"1119-1127","publisher":"John Wiley &amp; Sons, Ltd","title":"The Fagerström Test for Nicotine Dependence: a revision of the Fagerstrom Tolerance Questionnaire","type":"article-journal","volume":"86"}}],"schema":"https://github.com/citation-style-language/schema/raw/master/csl-citation.json"} </w:instrText>
      </w:r>
      <w:r w:rsidR="000316ED">
        <w:rPr>
          <w:rFonts w:ascii="Arial" w:eastAsia="Arial" w:hAnsi="Arial" w:cs="Arial"/>
          <w:sz w:val="20"/>
        </w:rPr>
        <w:fldChar w:fldCharType="separate"/>
      </w:r>
      <w:r w:rsidR="007508FC" w:rsidRPr="007508FC">
        <w:rPr>
          <w:rFonts w:ascii="Arial" w:hAnsi="Arial" w:cs="Arial"/>
          <w:sz w:val="20"/>
        </w:rPr>
        <w:t>(19)</w:t>
      </w:r>
      <w:r w:rsidR="000316ED">
        <w:rPr>
          <w:rFonts w:ascii="Arial" w:eastAsia="Arial" w:hAnsi="Arial" w:cs="Arial"/>
          <w:sz w:val="20"/>
        </w:rPr>
        <w:fldChar w:fldCharType="end"/>
      </w:r>
      <w:r w:rsidRPr="00A54222">
        <w:rPr>
          <w:rFonts w:ascii="Arial" w:eastAsia="Arial" w:hAnsi="Arial" w:cs="Arial"/>
          <w:sz w:val="20"/>
        </w:rPr>
        <w:t>.</w:t>
      </w:r>
    </w:p>
    <w:p w14:paraId="6A79BD26" w14:textId="67C964DA" w:rsidR="00076856" w:rsidRPr="00A54222" w:rsidRDefault="00DE4299" w:rsidP="00756C58">
      <w:pPr>
        <w:spacing w:before="240" w:after="240" w:line="360" w:lineRule="auto"/>
        <w:jc w:val="both"/>
        <w:rPr>
          <w:rFonts w:ascii="Arial" w:eastAsia="Arial" w:hAnsi="Arial" w:cs="Arial"/>
          <w:sz w:val="20"/>
        </w:rPr>
      </w:pPr>
      <w:r w:rsidRPr="00A54222">
        <w:rPr>
          <w:rFonts w:ascii="Arial" w:eastAsia="Arial" w:hAnsi="Arial" w:cs="Arial"/>
          <w:sz w:val="20"/>
        </w:rPr>
        <w:t>Zbog kratkog formata i jednostavnosti rješavanja spada u najčešće korištene testove za procjenu težine ovisnosti o nikotinu</w:t>
      </w:r>
      <w:r w:rsidR="000316ED">
        <w:rPr>
          <w:rFonts w:ascii="Arial" w:eastAsia="Arial" w:hAnsi="Arial" w:cs="Arial"/>
          <w:sz w:val="20"/>
        </w:rPr>
        <w:t xml:space="preserve"> </w:t>
      </w:r>
      <w:r w:rsidR="000316ED">
        <w:rPr>
          <w:rFonts w:ascii="Arial" w:eastAsia="Arial" w:hAnsi="Arial" w:cs="Arial"/>
          <w:sz w:val="20"/>
        </w:rPr>
        <w:fldChar w:fldCharType="begin" w:fldLock="1"/>
      </w:r>
      <w:r w:rsidR="007508FC">
        <w:rPr>
          <w:rFonts w:ascii="Arial" w:eastAsia="Arial" w:hAnsi="Arial" w:cs="Arial"/>
          <w:sz w:val="20"/>
        </w:rPr>
        <w:instrText xml:space="preserve"> ADDIN ZOTERO_ITEM CSL_CITATION {"citationID":"8MZPaD1p","properties":{"formattedCitation":"(20)","plainCitation":"(20)","noteIndex":0},"citationItems":[{"id":"YlNUCLkK/6gzQsneO","uris":["http://www.mendeley.com/documents/?uuid=02013e6b-b9f9-3be9-a467-f5095638c233"],"uri":["http://www.mendeley.com/documents/?uuid=02013e6b-b9f9-3be9-a467-f5095638c233"],"itemData":{"DOI":"10.1016/B978-0-12-398338-1.00030-0","ISBN":"9780123983381","author":[{"dropping-particle":"","family":"Haighton","given":"Catherine A.","non-dropping-particle":"","parse-names":false,"suffix":""},{"dropping-particle":"","family":"Newbury-Birch","given":"Dorothy","non-dropping-particle":"","parse-names":false,"suffix":""},{"dropping-particle":"","family":"Kaner","given":"Eileen F.S.","non-dropping-particle":"","parse-names":false,"suffix":""}],"container-title":"Interventions For Addiction","id":"ITEM-1","issued":{"date-parts":[["2013","1","1"]]},"page":"287-298","publisher":"Elsevier Inc.","title":"Screening and Interventions in Medical Settings Including Brief Feedback-Focused Interventions","type":"chapter"}}],"schema":"https://github.com/citation-style-language/schema/raw/master/csl-citation.json"} </w:instrText>
      </w:r>
      <w:r w:rsidR="000316ED">
        <w:rPr>
          <w:rFonts w:ascii="Arial" w:eastAsia="Arial" w:hAnsi="Arial" w:cs="Arial"/>
          <w:sz w:val="20"/>
        </w:rPr>
        <w:fldChar w:fldCharType="separate"/>
      </w:r>
      <w:r w:rsidR="007508FC" w:rsidRPr="007508FC">
        <w:rPr>
          <w:rFonts w:ascii="Arial" w:hAnsi="Arial" w:cs="Arial"/>
          <w:sz w:val="20"/>
        </w:rPr>
        <w:t>(20)</w:t>
      </w:r>
      <w:r w:rsidR="000316ED">
        <w:rPr>
          <w:rFonts w:ascii="Arial" w:eastAsia="Arial" w:hAnsi="Arial" w:cs="Arial"/>
          <w:sz w:val="20"/>
        </w:rPr>
        <w:fldChar w:fldCharType="end"/>
      </w:r>
      <w:r w:rsidRPr="00A54222">
        <w:rPr>
          <w:rFonts w:ascii="Arial" w:eastAsia="Arial" w:hAnsi="Arial" w:cs="Arial"/>
          <w:sz w:val="20"/>
        </w:rPr>
        <w:t xml:space="preserve">. Upotrebljava se u ordinacijama obiteljske medicine za postavljanje dijagnoze ovisnosti o nikotinu i postavljanje indikacije za primjenu nikotinske nadomjesne terapije gdje veći broj bodova dobivenih na testu ukazuje na veću potrebu za nikotinskom nadomjesnom terapijom </w:t>
      </w:r>
      <w:r w:rsidR="000316ED">
        <w:rPr>
          <w:rFonts w:ascii="Arial" w:eastAsia="Arial" w:hAnsi="Arial" w:cs="Arial"/>
          <w:sz w:val="20"/>
        </w:rPr>
        <w:fldChar w:fldCharType="begin" w:fldLock="1"/>
      </w:r>
      <w:r w:rsidR="007508FC">
        <w:rPr>
          <w:rFonts w:ascii="Arial" w:eastAsia="Arial" w:hAnsi="Arial" w:cs="Arial"/>
          <w:sz w:val="20"/>
        </w:rPr>
        <w:instrText xml:space="preserve"> ADDIN ZOTERO_ITEM CSL_CITATION {"citationID":"umVhE4Rj","properties":{"formattedCitation":"(21)","plainCitation":"(21)","noteIndex":0},"citationItems":[{"id":"YlNUCLkK/ChNdEKoO","uris":["http://www.mendeley.com/documents/?uuid=034889f5-3874-3ce5-9335-a68f373383a6"],"uri":["http://www.mendeley.com/documents/?uuid=034889f5-3874-3ce5-9335-a68f373383a6"],"itemData":{"ISSN":"0002-838X","abstract":"Family physicians can assess the smoking behavior of their patients in a few minutes, using carefully chosen questions. The CAGE questionnaire for smoking (modified from the familiar CAGE questionnaire for alcoholism), the","author":[{"dropping-particle":"","family":"Rustin","given":"Terry A.","non-dropping-particle":"","parse-names":false,"suffix":""}],"container-title":"American Family Physician","id":"ITEM-1","issue":"3","issued":{"date-parts":[["2000","8","1"]]},"page":"579","title":"Assessing Nicotine Dependence","type":"article-journal","volume":"62"}}],"schema":"https://github.com/citation-style-language/schema/raw/master/csl-citation.json"} </w:instrText>
      </w:r>
      <w:r w:rsidR="000316ED">
        <w:rPr>
          <w:rFonts w:ascii="Arial" w:eastAsia="Arial" w:hAnsi="Arial" w:cs="Arial"/>
          <w:sz w:val="20"/>
        </w:rPr>
        <w:fldChar w:fldCharType="separate"/>
      </w:r>
      <w:r w:rsidR="007508FC" w:rsidRPr="007508FC">
        <w:rPr>
          <w:rFonts w:ascii="Arial" w:hAnsi="Arial" w:cs="Arial"/>
          <w:sz w:val="20"/>
        </w:rPr>
        <w:t>(21)</w:t>
      </w:r>
      <w:r w:rsidR="000316ED">
        <w:rPr>
          <w:rFonts w:ascii="Arial" w:eastAsia="Arial" w:hAnsi="Arial" w:cs="Arial"/>
          <w:sz w:val="20"/>
        </w:rPr>
        <w:fldChar w:fldCharType="end"/>
      </w:r>
      <w:r w:rsidRPr="00A54222">
        <w:rPr>
          <w:rFonts w:ascii="Arial" w:eastAsia="Arial" w:hAnsi="Arial" w:cs="Arial"/>
          <w:sz w:val="20"/>
        </w:rPr>
        <w:t>. Osim toga test se koristi i u kliničkim istraživanjima</w:t>
      </w:r>
      <w:r w:rsidR="000316ED">
        <w:rPr>
          <w:rFonts w:ascii="Arial" w:eastAsia="Arial" w:hAnsi="Arial" w:cs="Arial"/>
          <w:sz w:val="20"/>
        </w:rPr>
        <w:t xml:space="preserve"> </w:t>
      </w:r>
      <w:r w:rsidR="000316ED">
        <w:rPr>
          <w:rFonts w:ascii="Arial" w:eastAsia="Arial" w:hAnsi="Arial" w:cs="Arial"/>
          <w:sz w:val="20"/>
        </w:rPr>
        <w:fldChar w:fldCharType="begin" w:fldLock="1"/>
      </w:r>
      <w:r w:rsidR="007508FC">
        <w:rPr>
          <w:rFonts w:ascii="Arial" w:eastAsia="Arial" w:hAnsi="Arial" w:cs="Arial"/>
          <w:sz w:val="20"/>
        </w:rPr>
        <w:instrText xml:space="preserve"> ADDIN ZOTERO_ITEM CSL_CITATION {"citationID":"8EfSR8MC","properties":{"formattedCitation":"(22)","plainCitation":"(22)","noteIndex":0},"citationItems":[{"id":"YlNUCLkK/o3KzBxQl","uris":["http://www.mendeley.com/documents/?uuid=d4d632bb-9b41-39f0-87e6-5055dc8fe64e"],"uri":["http://www.mendeley.com/documents/?uuid=d4d632bb-9b41-39f0-87e6-5055dc8fe64e"],"itemData":{"URL":"https://cde.drugabuse.gov/instrument/d7c0b0f5-b865-e4de-e040-bb89ad43202b","accessed":{"date-parts":[["2021","6","23"]]},"id":"ITEM-1","issued":{"date-parts":[["0"]]},"title":"Instrument: Fagerstrom Test for Nicotine Dependence (FTND) | NIDA CTN Common Data Elements","type":"webpage"}}],"schema":"https://github.com/citation-style-language/schema/raw/master/csl-citation.json"} </w:instrText>
      </w:r>
      <w:r w:rsidR="000316ED">
        <w:rPr>
          <w:rFonts w:ascii="Arial" w:eastAsia="Arial" w:hAnsi="Arial" w:cs="Arial"/>
          <w:sz w:val="20"/>
        </w:rPr>
        <w:fldChar w:fldCharType="separate"/>
      </w:r>
      <w:r w:rsidR="007508FC" w:rsidRPr="007508FC">
        <w:rPr>
          <w:rFonts w:ascii="Arial" w:hAnsi="Arial" w:cs="Arial"/>
          <w:sz w:val="20"/>
        </w:rPr>
        <w:t>(22)</w:t>
      </w:r>
      <w:r w:rsidR="000316ED">
        <w:rPr>
          <w:rFonts w:ascii="Arial" w:eastAsia="Arial" w:hAnsi="Arial" w:cs="Arial"/>
          <w:sz w:val="20"/>
        </w:rPr>
        <w:fldChar w:fldCharType="end"/>
      </w:r>
      <w:r w:rsidRPr="00A54222">
        <w:rPr>
          <w:rFonts w:ascii="Arial" w:eastAsia="Arial" w:hAnsi="Arial" w:cs="Arial"/>
          <w:sz w:val="20"/>
        </w:rPr>
        <w:t>.</w:t>
      </w:r>
    </w:p>
    <w:p w14:paraId="5B5A461A" w14:textId="7073A9D4" w:rsidR="00076856" w:rsidRPr="00A54222" w:rsidRDefault="00DE4299" w:rsidP="00756C58">
      <w:pPr>
        <w:spacing w:before="240" w:after="240" w:line="360" w:lineRule="auto"/>
        <w:jc w:val="both"/>
        <w:rPr>
          <w:rFonts w:ascii="Arial" w:eastAsia="Arial" w:hAnsi="Arial" w:cs="Arial"/>
          <w:sz w:val="20"/>
        </w:rPr>
      </w:pPr>
      <w:r w:rsidRPr="00A54222">
        <w:rPr>
          <w:rFonts w:ascii="Arial" w:eastAsia="Arial" w:hAnsi="Arial" w:cs="Arial"/>
          <w:sz w:val="20"/>
        </w:rPr>
        <w:t xml:space="preserve">Pretraživanjem baze podataka PubMed nađeno je da je </w:t>
      </w:r>
      <w:r w:rsidRPr="00A54222">
        <w:rPr>
          <w:rFonts w:ascii="Arial" w:eastAsia="Arial" w:hAnsi="Arial" w:cs="Arial"/>
          <w:i/>
          <w:sz w:val="20"/>
        </w:rPr>
        <w:t xml:space="preserve">Fagerströmov test ovisnosti o nikotinu </w:t>
      </w:r>
      <w:r w:rsidRPr="00A54222">
        <w:rPr>
          <w:rFonts w:ascii="Arial" w:eastAsia="Arial" w:hAnsi="Arial" w:cs="Arial"/>
          <w:sz w:val="20"/>
        </w:rPr>
        <w:t xml:space="preserve">korišten u dvije presječne studije u Republici Hrvatskoj. Prva obuhvaća hospitalizirane pacijente sa shizofrenijom dok je u drugoj ispitivana povezanost pušenja i posttraumatskog stresnog poremećaja u ratnih veterana </w:t>
      </w:r>
      <w:r w:rsidR="000316ED">
        <w:rPr>
          <w:rFonts w:ascii="Arial" w:eastAsia="Arial" w:hAnsi="Arial" w:cs="Arial"/>
          <w:sz w:val="20"/>
        </w:rPr>
        <w:fldChar w:fldCharType="begin" w:fldLock="1"/>
      </w:r>
      <w:r w:rsidR="007508FC">
        <w:rPr>
          <w:rFonts w:ascii="Arial" w:eastAsia="Arial" w:hAnsi="Arial" w:cs="Arial"/>
          <w:sz w:val="20"/>
        </w:rPr>
        <w:instrText xml:space="preserve"> ADDIN ZOTERO_ITEM CSL_CITATION {"citationID":"TjAwfXIN","properties":{"formattedCitation":"(23,24)","plainCitation":"(23,24)","noteIndex":0},"citationItems":[{"id":"YlNUCLkK/zBCYLH1P","uris":["http://www.mendeley.com/documents/?uuid=a5b80a4e-a510-3c96-a381-279eb07c138e"],"uri":["http://www.mendeley.com/documents/?uuid=a5b80a4e-a510-3c96-a381-279eb07c138e"],"itemData":{"DOI":"10.1186/s12888-018-1606-1","ISSN":"1471244X","PMID":"29357830","abstract":"Background: Patients with schizophrenia have the highest known rates of cigarette smoking, but less is known about their smoking behavior and the differences across geographical regions, including Croatia. The aim of this study was to compare patterns of nicotine dependence between patients with schizophrenia and healthy individuals, and to determine the relationship between clinical presentation and the severity of smoking. Methods: This cross-sectional study included 182 recently hospitalized male inpatients and 280 healthy males, who were daily smokers. All participants have fulfilled the Fagerstrom Test for Nicotine Dependence (FTND). Patients were also evaluated by the Positive and Negative Syndrome Scale (PANSS). Results: Patients had higher FTND total score (p = 0.010), smoked their first cigarette earlier in the morning (p = 0.000), consumed higher number of cigarettes (p = 0.000), while healthy subjects had more difficulties to refrain from smoking in places where it is forbidden (p = 0.000) and smoked more even when they were sick (p = 0.000). While severe dependence was more prevalent in the patient group, light dependence was more frequent in control subjects (p = 0.04). Smoking behavior was not associated with either PANSS total score or any of its subscales and items. Conclusions: Smokers with schizophrenia differ from healthy smokers in both smoking behavior and level of dependence. Longitudinal studies are needed to shed more light on the complex relationship between smoking and psychopathology in schizophrenia.","author":[{"dropping-particle":"","family":"Šagud","given":"Marina","non-dropping-particle":"","parse-names":false,"suffix":""},{"dropping-particle":"","family":"Vuksan-Ćusa","given":"Bjanka","non-dropping-particle":"","parse-names":false,"suffix":""},{"dropping-particle":"","family":"Jakšić","given":"Nenad","non-dropping-particle":"","parse-names":false,"suffix":""},{"dropping-particle":"","family":"Mihaljević-Peleš","given":"Alma","non-dropping-particle":"","parse-names":false,"suffix":""},{"dropping-particle":"","family":"Živković","given":"Maja","non-dropping-particle":"","parse-names":false,"suffix":""},{"dropping-particle":"","family":"Vlatković","given":"Suzana","non-dropping-particle":"","parse-names":false,"suffix":""},{"dropping-particle":"","family":"Prgić","given":"Tea","non-dropping-particle":"","parse-names":false,"suffix":""},{"dropping-particle":"","family":"Marčinko","given":"Darko","non-dropping-particle":"","parse-names":false,"suffix":""},{"dropping-particle":"","family":"Wang","given":"Wei","non-dropping-particle":"","parse-names":false,"suffix":""}],"container-title":"BMC Psychiatry","id":"ITEM-1","issue":"1","issued":{"date-parts":[["2018","1","22"]]},"page":"1-9","publisher":"BioMed Central Ltd.","title":"Nicotine dependence in Croatian male inpatients with Schizophrenia","type":"article-journal","volume":"18"}},{"id":414,"uris":["http://zotero.org/users/6243681/items/TQU6IWUE"],"uri":["http://zotero.org/users/6243681/items/TQU6IWUE"],"itemData":{"id":414,"type":"article-journal","abstract":"AIM: To examine relationships among combat exposure, posttraumatic stress disorder (PTSD) symptoms, depression, suicidality, nicotine dependence, and religiosity in Croatian veterans.\nMETHODS: This cross-sectional study used Combat Exposure Scale (CES) to quantify the stressor severity, PTSD Checklist 5 (PCL) to quantify PTSD severity, Duke University Religion Index to quantify religiosity, Montgomery Asberg (MADRS) and Hamilton Depression (HAM-D) rating scales to measure depression/suicidality, and Fagerstrom Test for Nicotine Dependence to assess nicotine dependence. Zero-order correlations, cluster analysis, multivariate regression, and mediation models were used for data analysis.\nRESULTS: Of 69 patients included, 71% met \"high religiosity\" criteria and 29% had moderate/high nicotine dependence. PTSD was severe (median PCL 71), depression was mild/moderate (median MADRS 19, HAM-D 14), while suicidality was mild. A subset of patients was identified with more severe PTSD/depression/suicidality and nicotine dependence (all P&lt;0.001). Two \"chains\" of direct and indirect independent associations were detected. Higher CES was associated with higher level of re-experiencing and, through re-experiencing, with higher negativity and hyperarousal. It also showed \"downstream\" division into two arms, one including a direct and indirect association with higher depression and lower probability of high religiosity, and the other including associations with higher suicidality and lower probability of high nicotine dependence.\nCONCLUSIONS: Psychopathology, religiosity, and nicotine dependence are intertwined in a complex way not detectable by simple direct associations. Heavy smoking might be a marker of severe PTSD psychopathology, while spirituality might be targeted in attempts of its alleviation. Oxford Centre for Evidence-based Medicine level of evidence: 3.","container-title":"Croatian Medical Journal","ISSN":"1332-8166","issue":"4","journalAbbreviation":"Croat Med J","language":"eng","note":"PMID: 30203630\nPMCID: PMC6139424","page":"165-177","source":"PubMed","title":"The relationship among psychopathology, religiosity, and nicotine dependence in Croatian war veterans with posttraumatic stress disorder","volume":"59","author":[{"family":"Šagud","given":"Marina"},{"family":"Petrović","given":"Božena"},{"family":"Vilibić","given":"Maja"},{"family":"Mihaljević-Peleš","given":"Alma"},{"family":"Vuksan-Ćusa","given":"Bjanka"},{"family":"Radoš","given":"Iva"},{"family":"Greš","given":"Alen"},{"family":"Trkulja","given":"Vladimir"}],"issued":{"date-parts":[["2018",8,31]]}}}],"schema":"https://github.com/citation-style-language/schema/raw/master/csl-citation.json"} </w:instrText>
      </w:r>
      <w:r w:rsidR="000316ED">
        <w:rPr>
          <w:rFonts w:ascii="Arial" w:eastAsia="Arial" w:hAnsi="Arial" w:cs="Arial"/>
          <w:sz w:val="20"/>
        </w:rPr>
        <w:fldChar w:fldCharType="separate"/>
      </w:r>
      <w:r w:rsidR="007508FC" w:rsidRPr="007508FC">
        <w:rPr>
          <w:rFonts w:ascii="Arial" w:hAnsi="Arial" w:cs="Arial"/>
          <w:sz w:val="20"/>
        </w:rPr>
        <w:t>(23</w:t>
      </w:r>
      <w:r w:rsidR="00E5170B">
        <w:rPr>
          <w:rFonts w:ascii="Arial" w:hAnsi="Arial" w:cs="Arial"/>
          <w:sz w:val="20"/>
        </w:rPr>
        <w:t>)</w:t>
      </w:r>
      <w:r w:rsidR="007508FC" w:rsidRPr="007508FC">
        <w:rPr>
          <w:rFonts w:ascii="Arial" w:hAnsi="Arial" w:cs="Arial"/>
          <w:sz w:val="20"/>
        </w:rPr>
        <w:t>,</w:t>
      </w:r>
      <w:r w:rsidR="00E5170B">
        <w:rPr>
          <w:rFonts w:ascii="Arial" w:hAnsi="Arial" w:cs="Arial"/>
          <w:sz w:val="20"/>
        </w:rPr>
        <w:t>(</w:t>
      </w:r>
      <w:r w:rsidR="007508FC" w:rsidRPr="007508FC">
        <w:rPr>
          <w:rFonts w:ascii="Arial" w:hAnsi="Arial" w:cs="Arial"/>
          <w:sz w:val="20"/>
        </w:rPr>
        <w:t>24)</w:t>
      </w:r>
      <w:r w:rsidR="000316ED">
        <w:rPr>
          <w:rFonts w:ascii="Arial" w:eastAsia="Arial" w:hAnsi="Arial" w:cs="Arial"/>
          <w:sz w:val="20"/>
        </w:rPr>
        <w:fldChar w:fldCharType="end"/>
      </w:r>
      <w:r w:rsidRPr="00A54222">
        <w:rPr>
          <w:rFonts w:ascii="Arial" w:eastAsia="Arial" w:hAnsi="Arial" w:cs="Arial"/>
          <w:sz w:val="20"/>
        </w:rPr>
        <w:t>.</w:t>
      </w:r>
    </w:p>
    <w:p w14:paraId="3140317B" w14:textId="77777777" w:rsidR="00076856" w:rsidRPr="00A54222" w:rsidRDefault="0001237F" w:rsidP="00756C58">
      <w:pPr>
        <w:spacing w:before="240" w:after="240" w:line="360" w:lineRule="auto"/>
        <w:jc w:val="both"/>
        <w:rPr>
          <w:rFonts w:ascii="Arial" w:eastAsia="Arial" w:hAnsi="Arial" w:cs="Arial"/>
          <w:sz w:val="20"/>
        </w:rPr>
      </w:pPr>
      <w:r w:rsidRPr="00A54222">
        <w:rPr>
          <w:rFonts w:ascii="Arial" w:eastAsia="Arial" w:hAnsi="Arial" w:cs="Arial"/>
          <w:sz w:val="20"/>
        </w:rPr>
        <w:t xml:space="preserve">Fagerströmov test </w:t>
      </w:r>
      <w:r w:rsidR="00DE4299" w:rsidRPr="00A54222">
        <w:rPr>
          <w:rFonts w:ascii="Arial" w:eastAsia="Arial" w:hAnsi="Arial" w:cs="Arial"/>
          <w:sz w:val="20"/>
        </w:rPr>
        <w:t>sastoji</w:t>
      </w:r>
      <w:r w:rsidRPr="00A54222">
        <w:rPr>
          <w:rFonts w:ascii="Arial" w:eastAsia="Arial" w:hAnsi="Arial" w:cs="Arial"/>
          <w:sz w:val="20"/>
        </w:rPr>
        <w:t xml:space="preserve"> se</w:t>
      </w:r>
      <w:r w:rsidR="00DE4299" w:rsidRPr="00A54222">
        <w:rPr>
          <w:rFonts w:ascii="Arial" w:eastAsia="Arial" w:hAnsi="Arial" w:cs="Arial"/>
          <w:sz w:val="20"/>
        </w:rPr>
        <w:t xml:space="preserve"> od šest pitanja. Pitanja s binarnim odgovorima boduju se od 0 do 1 boda, a pitanja s više odgovora od 0 do 3 boda. U ovom istraživanju prvo pitanje </w:t>
      </w:r>
      <w:r w:rsidR="00DE4299" w:rsidRPr="00A54222">
        <w:rPr>
          <w:rFonts w:ascii="Arial" w:eastAsia="Arial" w:hAnsi="Arial" w:cs="Arial"/>
          <w:i/>
          <w:sz w:val="20"/>
        </w:rPr>
        <w:t>“Koliko brzo nakon ustajanja popušite prvu cigaretu?”</w:t>
      </w:r>
      <w:r w:rsidR="00DE4299" w:rsidRPr="00A54222">
        <w:rPr>
          <w:rFonts w:ascii="Arial" w:eastAsia="Arial" w:hAnsi="Arial" w:cs="Arial"/>
          <w:sz w:val="20"/>
        </w:rPr>
        <w:t xml:space="preserve"> boduje se s 1 do 3 boda. Izostavljen je odgovor </w:t>
      </w:r>
      <w:r w:rsidR="00DE4299" w:rsidRPr="00A54222">
        <w:rPr>
          <w:rFonts w:ascii="Arial" w:eastAsia="Arial" w:hAnsi="Arial" w:cs="Arial"/>
          <w:i/>
          <w:sz w:val="20"/>
        </w:rPr>
        <w:t>“više od 60 minuta”</w:t>
      </w:r>
      <w:r w:rsidR="00DE4299" w:rsidRPr="00A54222">
        <w:rPr>
          <w:rFonts w:ascii="Arial" w:eastAsia="Arial" w:hAnsi="Arial" w:cs="Arial"/>
          <w:sz w:val="20"/>
        </w:rPr>
        <w:t xml:space="preserve"> koji se boduje s 0 bodova. Bodovi se zbrajaju u vrijednosti od 0 do 10 pri čemu vrijednosti od 1 do 2 označavaju </w:t>
      </w:r>
      <w:r w:rsidR="00DE4299" w:rsidRPr="00A54222">
        <w:rPr>
          <w:rFonts w:ascii="Arial" w:eastAsia="Arial" w:hAnsi="Arial" w:cs="Arial"/>
          <w:i/>
          <w:sz w:val="20"/>
        </w:rPr>
        <w:t>slabu ovisnost</w:t>
      </w:r>
      <w:r w:rsidR="00DE4299" w:rsidRPr="00A54222">
        <w:rPr>
          <w:rFonts w:ascii="Arial" w:eastAsia="Arial" w:hAnsi="Arial" w:cs="Arial"/>
          <w:sz w:val="20"/>
        </w:rPr>
        <w:t xml:space="preserve">, od 3 do 4 </w:t>
      </w:r>
      <w:r w:rsidR="00DE4299" w:rsidRPr="00A54222">
        <w:rPr>
          <w:rFonts w:ascii="Arial" w:eastAsia="Arial" w:hAnsi="Arial" w:cs="Arial"/>
          <w:i/>
          <w:sz w:val="20"/>
        </w:rPr>
        <w:t>slabu do srednje tešku ovisnost</w:t>
      </w:r>
      <w:r w:rsidR="00DE4299" w:rsidRPr="00A54222">
        <w:rPr>
          <w:rFonts w:ascii="Arial" w:eastAsia="Arial" w:hAnsi="Arial" w:cs="Arial"/>
          <w:sz w:val="20"/>
        </w:rPr>
        <w:t xml:space="preserve">, od 5 do 7 </w:t>
      </w:r>
      <w:r w:rsidR="00DE4299" w:rsidRPr="00A54222">
        <w:rPr>
          <w:rFonts w:ascii="Arial" w:eastAsia="Arial" w:hAnsi="Arial" w:cs="Arial"/>
          <w:i/>
          <w:sz w:val="20"/>
        </w:rPr>
        <w:t>srednje tešku ovisnost</w:t>
      </w:r>
      <w:r w:rsidR="00DE4299" w:rsidRPr="00A54222">
        <w:rPr>
          <w:rFonts w:ascii="Arial" w:eastAsia="Arial" w:hAnsi="Arial" w:cs="Arial"/>
          <w:sz w:val="20"/>
        </w:rPr>
        <w:t xml:space="preserve">, a 8 i više bodova označava </w:t>
      </w:r>
      <w:r w:rsidR="00DE4299" w:rsidRPr="00A54222">
        <w:rPr>
          <w:rFonts w:ascii="Arial" w:eastAsia="Arial" w:hAnsi="Arial" w:cs="Arial"/>
          <w:i/>
          <w:sz w:val="20"/>
        </w:rPr>
        <w:t>tešku ovisnost</w:t>
      </w:r>
      <w:r w:rsidR="00DE4299" w:rsidRPr="00A54222">
        <w:rPr>
          <w:rFonts w:ascii="Arial" w:eastAsia="Arial" w:hAnsi="Arial" w:cs="Arial"/>
          <w:sz w:val="20"/>
        </w:rPr>
        <w:t xml:space="preserve">. </w:t>
      </w:r>
      <w:r w:rsidR="00DE4299" w:rsidRPr="00A54222">
        <w:rPr>
          <w:rFonts w:ascii="Arial" w:eastAsia="Arial" w:hAnsi="Arial" w:cs="Arial"/>
          <w:i/>
          <w:sz w:val="20"/>
        </w:rPr>
        <w:t>Fagerströmov test ovisnosti o nikotinu</w:t>
      </w:r>
      <w:r w:rsidR="00DE4299" w:rsidRPr="00A54222">
        <w:rPr>
          <w:rFonts w:ascii="Arial" w:eastAsia="Arial" w:hAnsi="Arial" w:cs="Arial"/>
          <w:sz w:val="20"/>
        </w:rPr>
        <w:t xml:space="preserve"> prikazan je u Tablici 2.</w:t>
      </w:r>
    </w:p>
    <w:p w14:paraId="06B713F4" w14:textId="77777777" w:rsidR="00076856" w:rsidRDefault="00076856" w:rsidP="00756C58">
      <w:pPr>
        <w:spacing w:before="240" w:after="240" w:line="360" w:lineRule="auto"/>
        <w:jc w:val="both"/>
        <w:rPr>
          <w:rFonts w:ascii="Arial" w:eastAsia="Arial" w:hAnsi="Arial" w:cs="Arial"/>
        </w:rPr>
      </w:pPr>
    </w:p>
    <w:p w14:paraId="38852A11" w14:textId="77777777" w:rsidR="00076856" w:rsidRDefault="00076856" w:rsidP="00756C58">
      <w:pPr>
        <w:spacing w:before="240" w:after="240" w:line="360" w:lineRule="auto"/>
        <w:jc w:val="both"/>
        <w:rPr>
          <w:rFonts w:ascii="Arial" w:eastAsia="Arial" w:hAnsi="Arial" w:cs="Arial"/>
        </w:rPr>
      </w:pPr>
    </w:p>
    <w:p w14:paraId="67ABB161" w14:textId="77777777" w:rsidR="00756C58" w:rsidRDefault="00756C58" w:rsidP="00756C58">
      <w:pPr>
        <w:spacing w:before="240" w:after="240" w:line="360" w:lineRule="auto"/>
        <w:rPr>
          <w:rFonts w:ascii="Arial" w:eastAsia="Arial" w:hAnsi="Arial" w:cs="Arial"/>
          <w:b/>
        </w:rPr>
      </w:pPr>
      <w:r>
        <w:rPr>
          <w:rFonts w:ascii="Arial" w:eastAsia="Arial" w:hAnsi="Arial" w:cs="Arial"/>
          <w:b/>
        </w:rPr>
        <w:br w:type="page"/>
      </w:r>
    </w:p>
    <w:p w14:paraId="40C0C2F6" w14:textId="77777777" w:rsidR="00076856" w:rsidRPr="00A54222" w:rsidRDefault="00DE4299" w:rsidP="00756C58">
      <w:pPr>
        <w:spacing w:before="240" w:after="240" w:line="360" w:lineRule="auto"/>
        <w:rPr>
          <w:rFonts w:ascii="Arial" w:eastAsia="Arial" w:hAnsi="Arial" w:cs="Arial"/>
          <w:sz w:val="20"/>
        </w:rPr>
      </w:pPr>
      <w:r w:rsidRPr="00A54222">
        <w:rPr>
          <w:rFonts w:ascii="Arial" w:eastAsia="Arial" w:hAnsi="Arial" w:cs="Arial"/>
          <w:b/>
          <w:sz w:val="20"/>
        </w:rPr>
        <w:lastRenderedPageBreak/>
        <w:t>Tablica 2.</w:t>
      </w:r>
      <w:r w:rsidRPr="00A54222">
        <w:rPr>
          <w:rFonts w:ascii="Arial" w:eastAsia="Arial" w:hAnsi="Arial" w:cs="Arial"/>
          <w:sz w:val="20"/>
        </w:rPr>
        <w:t xml:space="preserve"> </w:t>
      </w:r>
      <w:r w:rsidRPr="00A54222">
        <w:rPr>
          <w:rFonts w:ascii="Arial" w:eastAsia="Arial" w:hAnsi="Arial" w:cs="Arial"/>
          <w:sz w:val="20"/>
        </w:rPr>
        <w:tab/>
        <w:t xml:space="preserve">Fagerströmov test ovisnosti o nikotinu </w:t>
      </w:r>
    </w:p>
    <w:tbl>
      <w:tblPr>
        <w:tblStyle w:val="af4"/>
        <w:tblW w:w="84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40"/>
        <w:gridCol w:w="2158"/>
        <w:gridCol w:w="947"/>
      </w:tblGrid>
      <w:tr w:rsidR="00076856" w14:paraId="77501C03" w14:textId="77777777">
        <w:trPr>
          <w:trHeight w:val="533"/>
        </w:trPr>
        <w:tc>
          <w:tcPr>
            <w:tcW w:w="5340"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vAlign w:val="center"/>
          </w:tcPr>
          <w:p w14:paraId="3E042059" w14:textId="77777777" w:rsidR="00076856" w:rsidRDefault="00DE4299" w:rsidP="00756C58">
            <w:pPr>
              <w:widowControl w:val="0"/>
              <w:pBdr>
                <w:top w:val="nil"/>
                <w:left w:val="nil"/>
                <w:bottom w:val="nil"/>
                <w:right w:val="nil"/>
                <w:between w:val="nil"/>
              </w:pBdr>
              <w:spacing w:line="360" w:lineRule="auto"/>
              <w:rPr>
                <w:rFonts w:ascii="Arial" w:eastAsia="Arial" w:hAnsi="Arial" w:cs="Arial"/>
                <w:sz w:val="18"/>
                <w:szCs w:val="18"/>
              </w:rPr>
            </w:pPr>
            <w:r>
              <w:rPr>
                <w:rFonts w:ascii="Arial" w:eastAsia="Arial" w:hAnsi="Arial" w:cs="Arial"/>
                <w:sz w:val="18"/>
                <w:szCs w:val="18"/>
              </w:rPr>
              <w:t xml:space="preserve">Pitanje </w:t>
            </w:r>
          </w:p>
        </w:tc>
        <w:tc>
          <w:tcPr>
            <w:tcW w:w="2158" w:type="dxa"/>
            <w:tcBorders>
              <w:top w:val="single" w:sz="12" w:space="0" w:color="000000"/>
              <w:bottom w:val="single" w:sz="12" w:space="0" w:color="000000"/>
            </w:tcBorders>
            <w:shd w:val="clear" w:color="auto" w:fill="auto"/>
            <w:tcMar>
              <w:top w:w="100" w:type="dxa"/>
              <w:left w:w="100" w:type="dxa"/>
              <w:bottom w:w="100" w:type="dxa"/>
              <w:right w:w="100" w:type="dxa"/>
            </w:tcMar>
            <w:vAlign w:val="center"/>
          </w:tcPr>
          <w:p w14:paraId="3F59CD06" w14:textId="77777777" w:rsidR="00076856" w:rsidRDefault="00DE4299" w:rsidP="00756C58">
            <w:pPr>
              <w:widowControl w:val="0"/>
              <w:spacing w:after="240" w:line="360" w:lineRule="auto"/>
              <w:rPr>
                <w:rFonts w:ascii="Arial" w:eastAsia="Arial" w:hAnsi="Arial" w:cs="Arial"/>
                <w:sz w:val="18"/>
                <w:szCs w:val="18"/>
              </w:rPr>
            </w:pPr>
            <w:r>
              <w:rPr>
                <w:rFonts w:ascii="Arial" w:eastAsia="Arial" w:hAnsi="Arial" w:cs="Arial"/>
                <w:sz w:val="18"/>
                <w:szCs w:val="18"/>
              </w:rPr>
              <w:t>Označite točan odgovor (zaokružite)</w:t>
            </w:r>
          </w:p>
        </w:tc>
        <w:tc>
          <w:tcPr>
            <w:tcW w:w="947" w:type="dxa"/>
            <w:tcBorders>
              <w:top w:val="single" w:sz="12" w:space="0" w:color="000000"/>
              <w:bottom w:val="single" w:sz="12" w:space="0" w:color="000000"/>
              <w:right w:val="single" w:sz="12" w:space="0" w:color="000000"/>
            </w:tcBorders>
            <w:shd w:val="clear" w:color="auto" w:fill="auto"/>
            <w:tcMar>
              <w:top w:w="100" w:type="dxa"/>
              <w:left w:w="100" w:type="dxa"/>
              <w:bottom w:w="100" w:type="dxa"/>
              <w:right w:w="100" w:type="dxa"/>
            </w:tcMar>
            <w:vAlign w:val="center"/>
          </w:tcPr>
          <w:p w14:paraId="731B3F16" w14:textId="77777777" w:rsidR="00076856" w:rsidRDefault="00DE4299" w:rsidP="00756C58">
            <w:pPr>
              <w:widowControl w:val="0"/>
              <w:pBdr>
                <w:top w:val="nil"/>
                <w:left w:val="nil"/>
                <w:bottom w:val="nil"/>
                <w:right w:val="nil"/>
                <w:between w:val="nil"/>
              </w:pBdr>
              <w:spacing w:line="360" w:lineRule="auto"/>
              <w:rPr>
                <w:rFonts w:ascii="Arial" w:eastAsia="Arial" w:hAnsi="Arial" w:cs="Arial"/>
                <w:sz w:val="18"/>
                <w:szCs w:val="18"/>
              </w:rPr>
            </w:pPr>
            <w:r>
              <w:rPr>
                <w:rFonts w:ascii="Arial" w:eastAsia="Arial" w:hAnsi="Arial" w:cs="Arial"/>
                <w:sz w:val="18"/>
                <w:szCs w:val="18"/>
              </w:rPr>
              <w:t>Bodovi</w:t>
            </w:r>
          </w:p>
        </w:tc>
      </w:tr>
      <w:tr w:rsidR="00076856" w14:paraId="7EEB43B3" w14:textId="77777777">
        <w:tc>
          <w:tcPr>
            <w:tcW w:w="5340" w:type="dxa"/>
            <w:tcBorders>
              <w:top w:val="single" w:sz="12" w:space="0" w:color="000000"/>
              <w:left w:val="single" w:sz="12" w:space="0" w:color="000000"/>
            </w:tcBorders>
            <w:shd w:val="clear" w:color="auto" w:fill="auto"/>
            <w:tcMar>
              <w:top w:w="100" w:type="dxa"/>
              <w:left w:w="100" w:type="dxa"/>
              <w:bottom w:w="100" w:type="dxa"/>
              <w:right w:w="100" w:type="dxa"/>
            </w:tcMar>
          </w:tcPr>
          <w:p w14:paraId="574F8404" w14:textId="77777777" w:rsidR="00076856" w:rsidRDefault="00DE4299" w:rsidP="00756C58">
            <w:pPr>
              <w:widowControl w:val="0"/>
              <w:numPr>
                <w:ilvl w:val="0"/>
                <w:numId w:val="4"/>
              </w:num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color w:val="000000"/>
                <w:sz w:val="18"/>
                <w:szCs w:val="18"/>
              </w:rPr>
              <w:t>Koliko brzo nakon ustajanja popušite prvu jutarnju cigaretu?</w:t>
            </w:r>
          </w:p>
        </w:tc>
        <w:tc>
          <w:tcPr>
            <w:tcW w:w="2158"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888112" w14:textId="77777777" w:rsidR="00076856" w:rsidRDefault="00DE4299" w:rsidP="00756C58">
            <w:pPr>
              <w:widowControl w:val="0"/>
              <w:spacing w:after="240" w:line="360" w:lineRule="auto"/>
              <w:rPr>
                <w:rFonts w:ascii="Arial" w:eastAsia="Arial" w:hAnsi="Arial" w:cs="Arial"/>
                <w:sz w:val="18"/>
                <w:szCs w:val="18"/>
              </w:rPr>
            </w:pPr>
            <w:r>
              <w:rPr>
                <w:rFonts w:ascii="Arial" w:eastAsia="Arial" w:hAnsi="Arial" w:cs="Arial"/>
                <w:sz w:val="18"/>
                <w:szCs w:val="18"/>
              </w:rPr>
              <w:t>unutar 5 minuta</w:t>
            </w:r>
          </w:p>
          <w:p w14:paraId="2FCC4D6E" w14:textId="77777777" w:rsidR="00076856" w:rsidRDefault="00DE4299" w:rsidP="00756C58">
            <w:pPr>
              <w:widowControl w:val="0"/>
              <w:spacing w:after="240" w:line="360" w:lineRule="auto"/>
              <w:rPr>
                <w:rFonts w:ascii="Arial" w:eastAsia="Arial" w:hAnsi="Arial" w:cs="Arial"/>
                <w:sz w:val="18"/>
                <w:szCs w:val="18"/>
              </w:rPr>
            </w:pPr>
            <w:r>
              <w:rPr>
                <w:rFonts w:ascii="Arial" w:eastAsia="Arial" w:hAnsi="Arial" w:cs="Arial"/>
                <w:sz w:val="18"/>
                <w:szCs w:val="18"/>
              </w:rPr>
              <w:t>5 do 30 minuta</w:t>
            </w:r>
          </w:p>
          <w:p w14:paraId="4BC35026" w14:textId="77777777" w:rsidR="00076856" w:rsidRDefault="00DE4299" w:rsidP="00756C58">
            <w:pPr>
              <w:widowControl w:val="0"/>
              <w:spacing w:before="240" w:line="360" w:lineRule="auto"/>
              <w:rPr>
                <w:rFonts w:ascii="Arial" w:eastAsia="Arial" w:hAnsi="Arial" w:cs="Arial"/>
                <w:sz w:val="18"/>
                <w:szCs w:val="18"/>
              </w:rPr>
            </w:pPr>
            <w:r>
              <w:rPr>
                <w:rFonts w:ascii="Arial" w:eastAsia="Arial" w:hAnsi="Arial" w:cs="Arial"/>
                <w:sz w:val="18"/>
                <w:szCs w:val="18"/>
              </w:rPr>
              <w:t>31 do 60 minuta</w:t>
            </w:r>
          </w:p>
        </w:tc>
        <w:tc>
          <w:tcPr>
            <w:tcW w:w="947" w:type="dxa"/>
            <w:tcBorders>
              <w:top w:val="single" w:sz="12"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1EE69DD2" w14:textId="77777777" w:rsidR="00076856" w:rsidRDefault="00DE4299" w:rsidP="00756C58">
            <w:pPr>
              <w:widowControl w:val="0"/>
              <w:spacing w:after="240" w:line="360" w:lineRule="auto"/>
              <w:rPr>
                <w:rFonts w:ascii="Arial" w:eastAsia="Arial" w:hAnsi="Arial" w:cs="Arial"/>
                <w:sz w:val="18"/>
                <w:szCs w:val="18"/>
              </w:rPr>
            </w:pPr>
            <w:r>
              <w:rPr>
                <w:rFonts w:ascii="Arial" w:eastAsia="Arial" w:hAnsi="Arial" w:cs="Arial"/>
                <w:sz w:val="18"/>
                <w:szCs w:val="18"/>
              </w:rPr>
              <w:t>3 boda</w:t>
            </w:r>
          </w:p>
          <w:p w14:paraId="104136DE" w14:textId="77777777" w:rsidR="00076856" w:rsidRDefault="00DE4299" w:rsidP="00756C58">
            <w:pPr>
              <w:widowControl w:val="0"/>
              <w:spacing w:before="240" w:after="240" w:line="360" w:lineRule="auto"/>
              <w:rPr>
                <w:rFonts w:ascii="Arial" w:eastAsia="Arial" w:hAnsi="Arial" w:cs="Arial"/>
                <w:sz w:val="18"/>
                <w:szCs w:val="18"/>
              </w:rPr>
            </w:pPr>
            <w:r>
              <w:rPr>
                <w:rFonts w:ascii="Arial" w:eastAsia="Arial" w:hAnsi="Arial" w:cs="Arial"/>
                <w:sz w:val="18"/>
                <w:szCs w:val="18"/>
              </w:rPr>
              <w:t>2 boda</w:t>
            </w:r>
          </w:p>
          <w:p w14:paraId="30E29141" w14:textId="77777777" w:rsidR="00076856" w:rsidRDefault="00DE4299" w:rsidP="00756C58">
            <w:pPr>
              <w:widowControl w:val="0"/>
              <w:spacing w:before="240" w:line="360" w:lineRule="auto"/>
              <w:rPr>
                <w:rFonts w:ascii="Arial" w:eastAsia="Arial" w:hAnsi="Arial" w:cs="Arial"/>
                <w:sz w:val="18"/>
                <w:szCs w:val="18"/>
              </w:rPr>
            </w:pPr>
            <w:r>
              <w:rPr>
                <w:rFonts w:ascii="Arial" w:eastAsia="Arial" w:hAnsi="Arial" w:cs="Arial"/>
                <w:sz w:val="18"/>
                <w:szCs w:val="18"/>
              </w:rPr>
              <w:t>1 bod</w:t>
            </w:r>
          </w:p>
        </w:tc>
      </w:tr>
      <w:tr w:rsidR="00076856" w14:paraId="3CBFD5B1" w14:textId="77777777">
        <w:tc>
          <w:tcPr>
            <w:tcW w:w="5340" w:type="dxa"/>
            <w:tcBorders>
              <w:left w:val="single" w:sz="12" w:space="0" w:color="000000"/>
            </w:tcBorders>
            <w:shd w:val="clear" w:color="auto" w:fill="auto"/>
            <w:tcMar>
              <w:top w:w="100" w:type="dxa"/>
              <w:left w:w="100" w:type="dxa"/>
              <w:bottom w:w="100" w:type="dxa"/>
              <w:right w:w="100" w:type="dxa"/>
            </w:tcMar>
          </w:tcPr>
          <w:p w14:paraId="2291291C" w14:textId="77777777" w:rsidR="00076856" w:rsidRDefault="00DE4299" w:rsidP="00756C58">
            <w:pPr>
              <w:widowControl w:val="0"/>
              <w:numPr>
                <w:ilvl w:val="0"/>
                <w:numId w:val="4"/>
              </w:numPr>
              <w:pBdr>
                <w:top w:val="nil"/>
                <w:left w:val="nil"/>
                <w:bottom w:val="nil"/>
                <w:right w:val="nil"/>
                <w:between w:val="nil"/>
              </w:pBdr>
              <w:spacing w:line="360" w:lineRule="auto"/>
              <w:ind w:right="100"/>
              <w:rPr>
                <w:rFonts w:ascii="Arial" w:eastAsia="Arial" w:hAnsi="Arial" w:cs="Arial"/>
                <w:color w:val="000000"/>
                <w:sz w:val="18"/>
                <w:szCs w:val="18"/>
              </w:rPr>
            </w:pPr>
            <w:r>
              <w:rPr>
                <w:rFonts w:ascii="Arial" w:eastAsia="Arial" w:hAnsi="Arial" w:cs="Arial"/>
                <w:color w:val="000000"/>
                <w:sz w:val="18"/>
                <w:szCs w:val="18"/>
              </w:rPr>
              <w:t>Je li Vam teško suzdržati se od pušenje u prostorima gdje je zabranjeno pušenje ? (npr. crkva, knjižnica i slično)</w:t>
            </w:r>
          </w:p>
        </w:tc>
        <w:tc>
          <w:tcPr>
            <w:tcW w:w="2158" w:type="dxa"/>
            <w:shd w:val="clear" w:color="auto" w:fill="auto"/>
            <w:tcMar>
              <w:top w:w="100" w:type="dxa"/>
              <w:left w:w="100" w:type="dxa"/>
              <w:bottom w:w="100" w:type="dxa"/>
              <w:right w:w="100" w:type="dxa"/>
            </w:tcMar>
          </w:tcPr>
          <w:p w14:paraId="35E2CD0C" w14:textId="77777777" w:rsidR="00076856" w:rsidRDefault="00DE4299" w:rsidP="00756C58">
            <w:pPr>
              <w:widowControl w:val="0"/>
              <w:pBdr>
                <w:top w:val="nil"/>
                <w:left w:val="nil"/>
                <w:bottom w:val="nil"/>
                <w:right w:val="nil"/>
                <w:between w:val="nil"/>
              </w:pBdr>
              <w:spacing w:line="360" w:lineRule="auto"/>
              <w:rPr>
                <w:rFonts w:ascii="Arial" w:eastAsia="Arial" w:hAnsi="Arial" w:cs="Arial"/>
                <w:sz w:val="18"/>
                <w:szCs w:val="18"/>
              </w:rPr>
            </w:pPr>
            <w:r>
              <w:rPr>
                <w:rFonts w:ascii="Arial" w:eastAsia="Arial" w:hAnsi="Arial" w:cs="Arial"/>
                <w:sz w:val="18"/>
                <w:szCs w:val="18"/>
              </w:rPr>
              <w:t xml:space="preserve"> da</w:t>
            </w:r>
          </w:p>
          <w:p w14:paraId="58E10FD6" w14:textId="77777777" w:rsidR="00076856" w:rsidRDefault="00076856" w:rsidP="00756C58">
            <w:pPr>
              <w:widowControl w:val="0"/>
              <w:pBdr>
                <w:top w:val="nil"/>
                <w:left w:val="nil"/>
                <w:bottom w:val="nil"/>
                <w:right w:val="nil"/>
                <w:between w:val="nil"/>
              </w:pBdr>
              <w:spacing w:line="360" w:lineRule="auto"/>
              <w:rPr>
                <w:rFonts w:ascii="Arial" w:eastAsia="Arial" w:hAnsi="Arial" w:cs="Arial"/>
                <w:sz w:val="18"/>
                <w:szCs w:val="18"/>
              </w:rPr>
            </w:pPr>
          </w:p>
          <w:p w14:paraId="4D2973B6" w14:textId="77777777" w:rsidR="00076856" w:rsidRDefault="00DE4299" w:rsidP="00756C58">
            <w:pPr>
              <w:widowControl w:val="0"/>
              <w:pBdr>
                <w:top w:val="nil"/>
                <w:left w:val="nil"/>
                <w:bottom w:val="nil"/>
                <w:right w:val="nil"/>
                <w:between w:val="nil"/>
              </w:pBdr>
              <w:spacing w:line="360" w:lineRule="auto"/>
              <w:rPr>
                <w:rFonts w:ascii="Arial" w:eastAsia="Arial" w:hAnsi="Arial" w:cs="Arial"/>
                <w:sz w:val="18"/>
                <w:szCs w:val="18"/>
              </w:rPr>
            </w:pPr>
            <w:r>
              <w:rPr>
                <w:rFonts w:ascii="Arial" w:eastAsia="Arial" w:hAnsi="Arial" w:cs="Arial"/>
                <w:sz w:val="18"/>
                <w:szCs w:val="18"/>
              </w:rPr>
              <w:t xml:space="preserve"> ne</w:t>
            </w:r>
          </w:p>
        </w:tc>
        <w:tc>
          <w:tcPr>
            <w:tcW w:w="947"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4A48E755" w14:textId="77777777" w:rsidR="00076856" w:rsidRDefault="00DE4299" w:rsidP="00756C58">
            <w:pPr>
              <w:widowControl w:val="0"/>
              <w:spacing w:after="240" w:line="360" w:lineRule="auto"/>
              <w:rPr>
                <w:rFonts w:ascii="Arial" w:eastAsia="Arial" w:hAnsi="Arial" w:cs="Arial"/>
                <w:sz w:val="18"/>
                <w:szCs w:val="18"/>
              </w:rPr>
            </w:pPr>
            <w:r>
              <w:rPr>
                <w:rFonts w:ascii="Arial" w:eastAsia="Arial" w:hAnsi="Arial" w:cs="Arial"/>
                <w:sz w:val="18"/>
                <w:szCs w:val="18"/>
              </w:rPr>
              <w:t>1 bod</w:t>
            </w:r>
          </w:p>
          <w:p w14:paraId="69DF7607" w14:textId="77777777" w:rsidR="00076856" w:rsidRDefault="00DE4299" w:rsidP="00756C58">
            <w:pPr>
              <w:widowControl w:val="0"/>
              <w:spacing w:before="240" w:line="360" w:lineRule="auto"/>
              <w:rPr>
                <w:rFonts w:ascii="Arial" w:eastAsia="Arial" w:hAnsi="Arial" w:cs="Arial"/>
                <w:sz w:val="18"/>
                <w:szCs w:val="18"/>
              </w:rPr>
            </w:pPr>
            <w:r>
              <w:rPr>
                <w:rFonts w:ascii="Arial" w:eastAsia="Arial" w:hAnsi="Arial" w:cs="Arial"/>
                <w:sz w:val="18"/>
                <w:szCs w:val="18"/>
              </w:rPr>
              <w:t>0 bodova</w:t>
            </w:r>
          </w:p>
        </w:tc>
      </w:tr>
      <w:tr w:rsidR="00076856" w14:paraId="216A90AF" w14:textId="77777777">
        <w:tc>
          <w:tcPr>
            <w:tcW w:w="5340" w:type="dxa"/>
            <w:tcBorders>
              <w:left w:val="single" w:sz="12" w:space="0" w:color="000000"/>
            </w:tcBorders>
            <w:shd w:val="clear" w:color="auto" w:fill="auto"/>
            <w:tcMar>
              <w:top w:w="100" w:type="dxa"/>
              <w:left w:w="100" w:type="dxa"/>
              <w:bottom w:w="100" w:type="dxa"/>
              <w:right w:w="100" w:type="dxa"/>
            </w:tcMar>
          </w:tcPr>
          <w:p w14:paraId="2675B767" w14:textId="77777777" w:rsidR="00076856" w:rsidRDefault="00DE4299" w:rsidP="00756C58">
            <w:pPr>
              <w:widowControl w:val="0"/>
              <w:numPr>
                <w:ilvl w:val="0"/>
                <w:numId w:val="4"/>
              </w:num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color w:val="000000"/>
                <w:sz w:val="18"/>
                <w:szCs w:val="18"/>
              </w:rPr>
              <w:t>Koje cigarete bi se najteže odrekli?</w:t>
            </w:r>
          </w:p>
          <w:p w14:paraId="0D09A491" w14:textId="77777777" w:rsidR="00076856" w:rsidRDefault="00076856" w:rsidP="00756C58">
            <w:pPr>
              <w:widowControl w:val="0"/>
              <w:pBdr>
                <w:top w:val="nil"/>
                <w:left w:val="nil"/>
                <w:bottom w:val="nil"/>
                <w:right w:val="nil"/>
                <w:between w:val="nil"/>
              </w:pBdr>
              <w:spacing w:line="360" w:lineRule="auto"/>
              <w:rPr>
                <w:rFonts w:ascii="Arial" w:eastAsia="Arial" w:hAnsi="Arial" w:cs="Arial"/>
                <w:sz w:val="18"/>
                <w:szCs w:val="18"/>
              </w:rPr>
            </w:pP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B005A" w14:textId="77777777" w:rsidR="00076856" w:rsidRDefault="00DE4299" w:rsidP="00756C58">
            <w:pPr>
              <w:widowControl w:val="0"/>
              <w:spacing w:after="240" w:line="360" w:lineRule="auto"/>
              <w:rPr>
                <w:rFonts w:ascii="Arial" w:eastAsia="Arial" w:hAnsi="Arial" w:cs="Arial"/>
                <w:sz w:val="18"/>
                <w:szCs w:val="18"/>
              </w:rPr>
            </w:pPr>
            <w:r>
              <w:rPr>
                <w:rFonts w:ascii="Arial" w:eastAsia="Arial" w:hAnsi="Arial" w:cs="Arial"/>
                <w:sz w:val="18"/>
                <w:szCs w:val="18"/>
              </w:rPr>
              <w:t>prve jutarnje</w:t>
            </w:r>
          </w:p>
          <w:p w14:paraId="494966F2" w14:textId="77777777" w:rsidR="00076856" w:rsidRDefault="00DE4299" w:rsidP="00756C58">
            <w:pPr>
              <w:widowControl w:val="0"/>
              <w:spacing w:before="240" w:line="360" w:lineRule="auto"/>
              <w:rPr>
                <w:rFonts w:ascii="Arial" w:eastAsia="Arial" w:hAnsi="Arial" w:cs="Arial"/>
                <w:sz w:val="18"/>
                <w:szCs w:val="18"/>
              </w:rPr>
            </w:pPr>
            <w:r>
              <w:rPr>
                <w:rFonts w:ascii="Arial" w:eastAsia="Arial" w:hAnsi="Arial" w:cs="Arial"/>
                <w:sz w:val="18"/>
                <w:szCs w:val="18"/>
              </w:rPr>
              <w:t>bilo koje</w:t>
            </w:r>
          </w:p>
        </w:tc>
        <w:tc>
          <w:tcPr>
            <w:tcW w:w="947"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1FFF1B1F" w14:textId="77777777" w:rsidR="00076856" w:rsidRDefault="00DE4299" w:rsidP="00756C58">
            <w:pPr>
              <w:widowControl w:val="0"/>
              <w:spacing w:after="240" w:line="360" w:lineRule="auto"/>
              <w:rPr>
                <w:rFonts w:ascii="Arial" w:eastAsia="Arial" w:hAnsi="Arial" w:cs="Arial"/>
                <w:sz w:val="18"/>
                <w:szCs w:val="18"/>
              </w:rPr>
            </w:pPr>
            <w:r>
              <w:rPr>
                <w:rFonts w:ascii="Arial" w:eastAsia="Arial" w:hAnsi="Arial" w:cs="Arial"/>
                <w:sz w:val="18"/>
                <w:szCs w:val="18"/>
              </w:rPr>
              <w:t>1 bod</w:t>
            </w:r>
          </w:p>
          <w:p w14:paraId="18C03980" w14:textId="77777777" w:rsidR="00076856" w:rsidRDefault="00DE4299" w:rsidP="00756C58">
            <w:pPr>
              <w:widowControl w:val="0"/>
              <w:spacing w:before="240" w:line="360" w:lineRule="auto"/>
              <w:rPr>
                <w:rFonts w:ascii="Arial" w:eastAsia="Arial" w:hAnsi="Arial" w:cs="Arial"/>
                <w:sz w:val="18"/>
                <w:szCs w:val="18"/>
              </w:rPr>
            </w:pPr>
            <w:r>
              <w:rPr>
                <w:rFonts w:ascii="Arial" w:eastAsia="Arial" w:hAnsi="Arial" w:cs="Arial"/>
                <w:sz w:val="18"/>
                <w:szCs w:val="18"/>
              </w:rPr>
              <w:t>0 bodova</w:t>
            </w:r>
          </w:p>
        </w:tc>
      </w:tr>
      <w:tr w:rsidR="00076856" w14:paraId="30C7E4D6" w14:textId="77777777">
        <w:tc>
          <w:tcPr>
            <w:tcW w:w="5340" w:type="dxa"/>
            <w:tcBorders>
              <w:left w:val="single" w:sz="12" w:space="0" w:color="000000"/>
            </w:tcBorders>
            <w:shd w:val="clear" w:color="auto" w:fill="auto"/>
            <w:tcMar>
              <w:top w:w="100" w:type="dxa"/>
              <w:left w:w="100" w:type="dxa"/>
              <w:bottom w:w="100" w:type="dxa"/>
              <w:right w:w="100" w:type="dxa"/>
            </w:tcMar>
          </w:tcPr>
          <w:p w14:paraId="103D515C" w14:textId="77777777" w:rsidR="00076856" w:rsidRDefault="00DE4299" w:rsidP="00756C58">
            <w:pPr>
              <w:widowControl w:val="0"/>
              <w:numPr>
                <w:ilvl w:val="0"/>
                <w:numId w:val="4"/>
              </w:num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color w:val="000000"/>
                <w:sz w:val="18"/>
                <w:szCs w:val="18"/>
              </w:rPr>
              <w:t>Koliko cigareta dnevno popušite?</w:t>
            </w:r>
          </w:p>
          <w:p w14:paraId="1B66EA5A" w14:textId="77777777" w:rsidR="00076856" w:rsidRDefault="00076856" w:rsidP="00756C58">
            <w:pPr>
              <w:widowControl w:val="0"/>
              <w:pBdr>
                <w:top w:val="nil"/>
                <w:left w:val="nil"/>
                <w:bottom w:val="nil"/>
                <w:right w:val="nil"/>
                <w:between w:val="nil"/>
              </w:pBdr>
              <w:spacing w:line="360" w:lineRule="auto"/>
              <w:rPr>
                <w:rFonts w:ascii="Arial" w:eastAsia="Arial" w:hAnsi="Arial" w:cs="Arial"/>
                <w:sz w:val="18"/>
                <w:szCs w:val="18"/>
              </w:rPr>
            </w:pP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392D73" w14:textId="77777777" w:rsidR="00076856" w:rsidRDefault="00DE4299" w:rsidP="00756C58">
            <w:pPr>
              <w:widowControl w:val="0"/>
              <w:spacing w:after="240" w:line="360" w:lineRule="auto"/>
              <w:rPr>
                <w:rFonts w:ascii="Arial" w:eastAsia="Arial" w:hAnsi="Arial" w:cs="Arial"/>
                <w:sz w:val="18"/>
                <w:szCs w:val="18"/>
              </w:rPr>
            </w:pPr>
            <w:r>
              <w:rPr>
                <w:rFonts w:ascii="Arial" w:eastAsia="Arial" w:hAnsi="Arial" w:cs="Arial"/>
                <w:sz w:val="18"/>
                <w:szCs w:val="18"/>
              </w:rPr>
              <w:t>10 ili manje</w:t>
            </w:r>
          </w:p>
          <w:p w14:paraId="6A917BCD" w14:textId="77777777" w:rsidR="00076856" w:rsidRDefault="00DE4299" w:rsidP="00756C58">
            <w:pPr>
              <w:widowControl w:val="0"/>
              <w:spacing w:before="240" w:after="240" w:line="360" w:lineRule="auto"/>
              <w:rPr>
                <w:rFonts w:ascii="Arial" w:eastAsia="Arial" w:hAnsi="Arial" w:cs="Arial"/>
                <w:sz w:val="18"/>
                <w:szCs w:val="18"/>
              </w:rPr>
            </w:pPr>
            <w:r>
              <w:rPr>
                <w:rFonts w:ascii="Arial" w:eastAsia="Arial" w:hAnsi="Arial" w:cs="Arial"/>
                <w:sz w:val="18"/>
                <w:szCs w:val="18"/>
              </w:rPr>
              <w:t>11-20</w:t>
            </w:r>
          </w:p>
          <w:p w14:paraId="6A475E4F" w14:textId="77777777" w:rsidR="00076856" w:rsidRDefault="00DE4299" w:rsidP="00756C58">
            <w:pPr>
              <w:widowControl w:val="0"/>
              <w:spacing w:before="240" w:after="240" w:line="360" w:lineRule="auto"/>
              <w:rPr>
                <w:rFonts w:ascii="Arial" w:eastAsia="Arial" w:hAnsi="Arial" w:cs="Arial"/>
                <w:sz w:val="18"/>
                <w:szCs w:val="18"/>
              </w:rPr>
            </w:pPr>
            <w:r>
              <w:rPr>
                <w:rFonts w:ascii="Arial" w:eastAsia="Arial" w:hAnsi="Arial" w:cs="Arial"/>
                <w:sz w:val="18"/>
                <w:szCs w:val="18"/>
              </w:rPr>
              <w:t>21-30</w:t>
            </w:r>
          </w:p>
          <w:p w14:paraId="4EF9D9AF" w14:textId="77777777" w:rsidR="00076856" w:rsidRDefault="00DE4299" w:rsidP="00756C58">
            <w:pPr>
              <w:widowControl w:val="0"/>
              <w:spacing w:before="240" w:line="360" w:lineRule="auto"/>
              <w:rPr>
                <w:rFonts w:ascii="Arial" w:eastAsia="Arial" w:hAnsi="Arial" w:cs="Arial"/>
                <w:sz w:val="18"/>
                <w:szCs w:val="18"/>
              </w:rPr>
            </w:pPr>
            <w:r>
              <w:rPr>
                <w:rFonts w:ascii="Arial" w:eastAsia="Arial" w:hAnsi="Arial" w:cs="Arial"/>
                <w:sz w:val="18"/>
                <w:szCs w:val="18"/>
              </w:rPr>
              <w:t>31 i više</w:t>
            </w:r>
          </w:p>
        </w:tc>
        <w:tc>
          <w:tcPr>
            <w:tcW w:w="947"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6220F85F" w14:textId="77777777" w:rsidR="00076856" w:rsidRDefault="00DE4299" w:rsidP="00756C58">
            <w:pPr>
              <w:widowControl w:val="0"/>
              <w:spacing w:after="240" w:line="360" w:lineRule="auto"/>
              <w:rPr>
                <w:rFonts w:ascii="Arial" w:eastAsia="Arial" w:hAnsi="Arial" w:cs="Arial"/>
                <w:sz w:val="18"/>
                <w:szCs w:val="18"/>
              </w:rPr>
            </w:pPr>
            <w:r>
              <w:rPr>
                <w:rFonts w:ascii="Arial" w:eastAsia="Arial" w:hAnsi="Arial" w:cs="Arial"/>
                <w:sz w:val="18"/>
                <w:szCs w:val="18"/>
              </w:rPr>
              <w:t>0  bodova</w:t>
            </w:r>
          </w:p>
          <w:p w14:paraId="25E540A3" w14:textId="77777777" w:rsidR="00076856" w:rsidRDefault="00DE4299" w:rsidP="00756C58">
            <w:pPr>
              <w:widowControl w:val="0"/>
              <w:spacing w:after="240" w:line="360" w:lineRule="auto"/>
              <w:rPr>
                <w:rFonts w:ascii="Arial" w:eastAsia="Arial" w:hAnsi="Arial" w:cs="Arial"/>
                <w:sz w:val="18"/>
                <w:szCs w:val="18"/>
              </w:rPr>
            </w:pPr>
            <w:r>
              <w:rPr>
                <w:rFonts w:ascii="Arial" w:eastAsia="Arial" w:hAnsi="Arial" w:cs="Arial"/>
                <w:sz w:val="18"/>
                <w:szCs w:val="18"/>
              </w:rPr>
              <w:t>1  bod</w:t>
            </w:r>
          </w:p>
          <w:p w14:paraId="66ED64CF" w14:textId="77777777" w:rsidR="00076856" w:rsidRDefault="00DE4299" w:rsidP="00756C58">
            <w:pPr>
              <w:widowControl w:val="0"/>
              <w:spacing w:before="240" w:after="240" w:line="360" w:lineRule="auto"/>
              <w:rPr>
                <w:rFonts w:ascii="Arial" w:eastAsia="Arial" w:hAnsi="Arial" w:cs="Arial"/>
                <w:sz w:val="18"/>
                <w:szCs w:val="18"/>
              </w:rPr>
            </w:pPr>
            <w:r>
              <w:rPr>
                <w:rFonts w:ascii="Arial" w:eastAsia="Arial" w:hAnsi="Arial" w:cs="Arial"/>
                <w:sz w:val="18"/>
                <w:szCs w:val="18"/>
              </w:rPr>
              <w:t>2  boda</w:t>
            </w:r>
          </w:p>
          <w:p w14:paraId="3C4150DC" w14:textId="77777777" w:rsidR="00076856" w:rsidRDefault="00DE4299" w:rsidP="00756C58">
            <w:pPr>
              <w:widowControl w:val="0"/>
              <w:spacing w:before="240" w:line="360" w:lineRule="auto"/>
              <w:rPr>
                <w:rFonts w:ascii="Arial" w:eastAsia="Arial" w:hAnsi="Arial" w:cs="Arial"/>
                <w:sz w:val="18"/>
                <w:szCs w:val="18"/>
              </w:rPr>
            </w:pPr>
            <w:r>
              <w:rPr>
                <w:rFonts w:ascii="Arial" w:eastAsia="Arial" w:hAnsi="Arial" w:cs="Arial"/>
                <w:sz w:val="18"/>
                <w:szCs w:val="18"/>
              </w:rPr>
              <w:t>3  boda</w:t>
            </w:r>
          </w:p>
        </w:tc>
      </w:tr>
      <w:tr w:rsidR="00076856" w14:paraId="53B49B96" w14:textId="77777777">
        <w:tc>
          <w:tcPr>
            <w:tcW w:w="5340" w:type="dxa"/>
            <w:tcBorders>
              <w:left w:val="single" w:sz="12" w:space="0" w:color="000000"/>
            </w:tcBorders>
            <w:shd w:val="clear" w:color="auto" w:fill="auto"/>
            <w:tcMar>
              <w:top w:w="100" w:type="dxa"/>
              <w:left w:w="100" w:type="dxa"/>
              <w:bottom w:w="100" w:type="dxa"/>
              <w:right w:w="100" w:type="dxa"/>
            </w:tcMar>
          </w:tcPr>
          <w:p w14:paraId="7FA2A235" w14:textId="77777777" w:rsidR="00076856" w:rsidRDefault="00DE4299" w:rsidP="00756C58">
            <w:pPr>
              <w:widowControl w:val="0"/>
              <w:numPr>
                <w:ilvl w:val="0"/>
                <w:numId w:val="4"/>
              </w:numPr>
              <w:pBdr>
                <w:top w:val="nil"/>
                <w:left w:val="nil"/>
                <w:bottom w:val="nil"/>
                <w:right w:val="nil"/>
                <w:between w:val="nil"/>
              </w:pBdr>
              <w:spacing w:line="360" w:lineRule="auto"/>
              <w:rPr>
                <w:rFonts w:ascii="Arial" w:eastAsia="Arial" w:hAnsi="Arial" w:cs="Arial"/>
                <w:color w:val="000000"/>
                <w:sz w:val="18"/>
                <w:szCs w:val="18"/>
              </w:rPr>
            </w:pPr>
            <w:r>
              <w:rPr>
                <w:rFonts w:ascii="Arial" w:eastAsia="Arial" w:hAnsi="Arial" w:cs="Arial"/>
                <w:color w:val="000000"/>
                <w:sz w:val="18"/>
                <w:szCs w:val="18"/>
              </w:rPr>
              <w:t>Pušite li češće u jutarnjim satima?</w:t>
            </w:r>
          </w:p>
          <w:p w14:paraId="1D35BB80" w14:textId="77777777" w:rsidR="00076856" w:rsidRDefault="00076856" w:rsidP="00756C58">
            <w:pPr>
              <w:widowControl w:val="0"/>
              <w:pBdr>
                <w:top w:val="nil"/>
                <w:left w:val="nil"/>
                <w:bottom w:val="nil"/>
                <w:right w:val="nil"/>
                <w:between w:val="nil"/>
              </w:pBdr>
              <w:spacing w:line="360" w:lineRule="auto"/>
              <w:rPr>
                <w:rFonts w:ascii="Arial" w:eastAsia="Arial" w:hAnsi="Arial" w:cs="Arial"/>
                <w:sz w:val="18"/>
                <w:szCs w:val="18"/>
              </w:rPr>
            </w:pPr>
          </w:p>
        </w:tc>
        <w:tc>
          <w:tcPr>
            <w:tcW w:w="2158" w:type="dxa"/>
            <w:shd w:val="clear" w:color="auto" w:fill="auto"/>
            <w:tcMar>
              <w:top w:w="100" w:type="dxa"/>
              <w:left w:w="100" w:type="dxa"/>
              <w:bottom w:w="100" w:type="dxa"/>
              <w:right w:w="100" w:type="dxa"/>
            </w:tcMar>
          </w:tcPr>
          <w:p w14:paraId="3166D4E0" w14:textId="77777777" w:rsidR="00076856" w:rsidRDefault="00DE4299" w:rsidP="00756C58">
            <w:pPr>
              <w:widowControl w:val="0"/>
              <w:pBdr>
                <w:top w:val="nil"/>
                <w:left w:val="nil"/>
                <w:bottom w:val="nil"/>
                <w:right w:val="nil"/>
                <w:between w:val="nil"/>
              </w:pBdr>
              <w:spacing w:line="360" w:lineRule="auto"/>
              <w:rPr>
                <w:rFonts w:ascii="Arial" w:eastAsia="Arial" w:hAnsi="Arial" w:cs="Arial"/>
                <w:sz w:val="18"/>
                <w:szCs w:val="18"/>
              </w:rPr>
            </w:pPr>
            <w:r>
              <w:rPr>
                <w:rFonts w:ascii="Arial" w:eastAsia="Arial" w:hAnsi="Arial" w:cs="Arial"/>
                <w:sz w:val="18"/>
                <w:szCs w:val="18"/>
              </w:rPr>
              <w:t>da</w:t>
            </w:r>
          </w:p>
          <w:p w14:paraId="510151C4" w14:textId="77777777" w:rsidR="00076856" w:rsidRDefault="00076856" w:rsidP="00756C58">
            <w:pPr>
              <w:widowControl w:val="0"/>
              <w:pBdr>
                <w:top w:val="nil"/>
                <w:left w:val="nil"/>
                <w:bottom w:val="nil"/>
                <w:right w:val="nil"/>
                <w:between w:val="nil"/>
              </w:pBdr>
              <w:spacing w:line="360" w:lineRule="auto"/>
              <w:rPr>
                <w:rFonts w:ascii="Arial" w:eastAsia="Arial" w:hAnsi="Arial" w:cs="Arial"/>
                <w:sz w:val="18"/>
                <w:szCs w:val="18"/>
              </w:rPr>
            </w:pPr>
          </w:p>
          <w:p w14:paraId="3AAAB57A" w14:textId="77777777" w:rsidR="00076856" w:rsidRDefault="00DE4299" w:rsidP="00756C58">
            <w:pPr>
              <w:widowControl w:val="0"/>
              <w:pBdr>
                <w:top w:val="nil"/>
                <w:left w:val="nil"/>
                <w:bottom w:val="nil"/>
                <w:right w:val="nil"/>
                <w:between w:val="nil"/>
              </w:pBdr>
              <w:spacing w:line="360" w:lineRule="auto"/>
              <w:rPr>
                <w:rFonts w:ascii="Arial" w:eastAsia="Arial" w:hAnsi="Arial" w:cs="Arial"/>
                <w:sz w:val="18"/>
                <w:szCs w:val="18"/>
              </w:rPr>
            </w:pPr>
            <w:r>
              <w:rPr>
                <w:rFonts w:ascii="Arial" w:eastAsia="Arial" w:hAnsi="Arial" w:cs="Arial"/>
                <w:sz w:val="18"/>
                <w:szCs w:val="18"/>
              </w:rPr>
              <w:t>ne</w:t>
            </w:r>
          </w:p>
        </w:tc>
        <w:tc>
          <w:tcPr>
            <w:tcW w:w="947"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4200EB07" w14:textId="77777777" w:rsidR="00076856" w:rsidRDefault="00DE4299" w:rsidP="00756C58">
            <w:pPr>
              <w:widowControl w:val="0"/>
              <w:spacing w:after="240" w:line="360" w:lineRule="auto"/>
              <w:rPr>
                <w:rFonts w:ascii="Arial" w:eastAsia="Arial" w:hAnsi="Arial" w:cs="Arial"/>
                <w:sz w:val="18"/>
                <w:szCs w:val="18"/>
              </w:rPr>
            </w:pPr>
            <w:r>
              <w:rPr>
                <w:rFonts w:ascii="Arial" w:eastAsia="Arial" w:hAnsi="Arial" w:cs="Arial"/>
                <w:sz w:val="18"/>
                <w:szCs w:val="18"/>
              </w:rPr>
              <w:t>1 bod</w:t>
            </w:r>
          </w:p>
          <w:p w14:paraId="38453FFD" w14:textId="77777777" w:rsidR="00076856" w:rsidRDefault="00DE4299" w:rsidP="00756C58">
            <w:pPr>
              <w:widowControl w:val="0"/>
              <w:spacing w:before="240" w:line="360" w:lineRule="auto"/>
              <w:rPr>
                <w:rFonts w:ascii="Arial" w:eastAsia="Arial" w:hAnsi="Arial" w:cs="Arial"/>
                <w:sz w:val="18"/>
                <w:szCs w:val="18"/>
              </w:rPr>
            </w:pPr>
            <w:r>
              <w:rPr>
                <w:rFonts w:ascii="Arial" w:eastAsia="Arial" w:hAnsi="Arial" w:cs="Arial"/>
                <w:sz w:val="18"/>
                <w:szCs w:val="18"/>
              </w:rPr>
              <w:t>0 bodova</w:t>
            </w:r>
          </w:p>
        </w:tc>
      </w:tr>
      <w:tr w:rsidR="00076856" w14:paraId="67178CB0" w14:textId="77777777">
        <w:trPr>
          <w:trHeight w:val="800"/>
        </w:trPr>
        <w:tc>
          <w:tcPr>
            <w:tcW w:w="5340" w:type="dxa"/>
            <w:tcBorders>
              <w:left w:val="single" w:sz="12" w:space="0" w:color="000000"/>
            </w:tcBorders>
            <w:shd w:val="clear" w:color="auto" w:fill="auto"/>
            <w:tcMar>
              <w:top w:w="100" w:type="dxa"/>
              <w:left w:w="100" w:type="dxa"/>
              <w:bottom w:w="100" w:type="dxa"/>
              <w:right w:w="100" w:type="dxa"/>
            </w:tcMar>
          </w:tcPr>
          <w:p w14:paraId="52C198B1" w14:textId="77777777" w:rsidR="00076856" w:rsidRDefault="00DE4299" w:rsidP="00756C58">
            <w:pPr>
              <w:widowControl w:val="0"/>
              <w:numPr>
                <w:ilvl w:val="0"/>
                <w:numId w:val="4"/>
              </w:numPr>
              <w:pBdr>
                <w:top w:val="nil"/>
                <w:left w:val="nil"/>
                <w:bottom w:val="nil"/>
                <w:right w:val="nil"/>
                <w:between w:val="nil"/>
              </w:pBdr>
              <w:spacing w:after="240" w:line="360" w:lineRule="auto"/>
              <w:rPr>
                <w:rFonts w:ascii="Arial" w:eastAsia="Arial" w:hAnsi="Arial" w:cs="Arial"/>
                <w:color w:val="000000"/>
                <w:sz w:val="18"/>
                <w:szCs w:val="18"/>
              </w:rPr>
            </w:pPr>
            <w:r>
              <w:rPr>
                <w:rFonts w:ascii="Arial" w:eastAsia="Arial" w:hAnsi="Arial" w:cs="Arial"/>
                <w:color w:val="000000"/>
                <w:sz w:val="18"/>
                <w:szCs w:val="18"/>
              </w:rPr>
              <w:t>Pušite li tijekom većine dana u slučaju kad ste toliko bolesni da Vas bolest veže za krevet?</w:t>
            </w:r>
          </w:p>
        </w:tc>
        <w:tc>
          <w:tcPr>
            <w:tcW w:w="2158" w:type="dxa"/>
            <w:shd w:val="clear" w:color="auto" w:fill="auto"/>
            <w:tcMar>
              <w:top w:w="100" w:type="dxa"/>
              <w:left w:w="100" w:type="dxa"/>
              <w:bottom w:w="100" w:type="dxa"/>
              <w:right w:w="100" w:type="dxa"/>
            </w:tcMar>
          </w:tcPr>
          <w:p w14:paraId="680B97EA" w14:textId="77777777" w:rsidR="00076856" w:rsidRDefault="00DE4299" w:rsidP="00756C58">
            <w:pPr>
              <w:widowControl w:val="0"/>
              <w:pBdr>
                <w:top w:val="nil"/>
                <w:left w:val="nil"/>
                <w:bottom w:val="nil"/>
                <w:right w:val="nil"/>
                <w:between w:val="nil"/>
              </w:pBdr>
              <w:spacing w:line="360" w:lineRule="auto"/>
              <w:rPr>
                <w:rFonts w:ascii="Arial" w:eastAsia="Arial" w:hAnsi="Arial" w:cs="Arial"/>
                <w:sz w:val="18"/>
                <w:szCs w:val="18"/>
              </w:rPr>
            </w:pPr>
            <w:r>
              <w:rPr>
                <w:rFonts w:ascii="Arial" w:eastAsia="Arial" w:hAnsi="Arial" w:cs="Arial"/>
                <w:sz w:val="18"/>
                <w:szCs w:val="18"/>
              </w:rPr>
              <w:t>da</w:t>
            </w:r>
          </w:p>
          <w:p w14:paraId="1FCFCF24" w14:textId="77777777" w:rsidR="00076856" w:rsidRDefault="00076856" w:rsidP="00756C58">
            <w:pPr>
              <w:widowControl w:val="0"/>
              <w:pBdr>
                <w:top w:val="nil"/>
                <w:left w:val="nil"/>
                <w:bottom w:val="nil"/>
                <w:right w:val="nil"/>
                <w:between w:val="nil"/>
              </w:pBdr>
              <w:spacing w:line="360" w:lineRule="auto"/>
              <w:rPr>
                <w:rFonts w:ascii="Arial" w:eastAsia="Arial" w:hAnsi="Arial" w:cs="Arial"/>
                <w:sz w:val="18"/>
                <w:szCs w:val="18"/>
              </w:rPr>
            </w:pPr>
          </w:p>
          <w:p w14:paraId="024A5779" w14:textId="77777777" w:rsidR="00076856" w:rsidRDefault="00DE4299" w:rsidP="00756C58">
            <w:pPr>
              <w:widowControl w:val="0"/>
              <w:pBdr>
                <w:top w:val="nil"/>
                <w:left w:val="nil"/>
                <w:bottom w:val="nil"/>
                <w:right w:val="nil"/>
                <w:between w:val="nil"/>
              </w:pBdr>
              <w:spacing w:line="360" w:lineRule="auto"/>
              <w:rPr>
                <w:rFonts w:ascii="Arial" w:eastAsia="Arial" w:hAnsi="Arial" w:cs="Arial"/>
                <w:sz w:val="18"/>
                <w:szCs w:val="18"/>
              </w:rPr>
            </w:pPr>
            <w:r>
              <w:rPr>
                <w:rFonts w:ascii="Arial" w:eastAsia="Arial" w:hAnsi="Arial" w:cs="Arial"/>
                <w:sz w:val="18"/>
                <w:szCs w:val="18"/>
              </w:rPr>
              <w:t>ne</w:t>
            </w:r>
          </w:p>
        </w:tc>
        <w:tc>
          <w:tcPr>
            <w:tcW w:w="947"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790A63B1" w14:textId="77777777" w:rsidR="00076856" w:rsidRDefault="00DE4299" w:rsidP="00756C58">
            <w:pPr>
              <w:widowControl w:val="0"/>
              <w:spacing w:after="240" w:line="360" w:lineRule="auto"/>
              <w:rPr>
                <w:rFonts w:ascii="Arial" w:eastAsia="Arial" w:hAnsi="Arial" w:cs="Arial"/>
                <w:sz w:val="18"/>
                <w:szCs w:val="18"/>
              </w:rPr>
            </w:pPr>
            <w:r>
              <w:rPr>
                <w:rFonts w:ascii="Arial" w:eastAsia="Arial" w:hAnsi="Arial" w:cs="Arial"/>
                <w:sz w:val="18"/>
                <w:szCs w:val="18"/>
              </w:rPr>
              <w:t>1 bod</w:t>
            </w:r>
          </w:p>
          <w:p w14:paraId="1E9F79FC" w14:textId="77777777" w:rsidR="00076856" w:rsidRDefault="00DE4299" w:rsidP="00756C58">
            <w:pPr>
              <w:widowControl w:val="0"/>
              <w:spacing w:before="240" w:line="360" w:lineRule="auto"/>
              <w:rPr>
                <w:rFonts w:ascii="Arial" w:eastAsia="Arial" w:hAnsi="Arial" w:cs="Arial"/>
                <w:sz w:val="18"/>
                <w:szCs w:val="18"/>
              </w:rPr>
            </w:pPr>
            <w:r>
              <w:rPr>
                <w:rFonts w:ascii="Arial" w:eastAsia="Arial" w:hAnsi="Arial" w:cs="Arial"/>
                <w:sz w:val="18"/>
                <w:szCs w:val="18"/>
              </w:rPr>
              <w:t>0 bodova</w:t>
            </w:r>
          </w:p>
        </w:tc>
      </w:tr>
      <w:tr w:rsidR="00076856" w14:paraId="1498B67B" w14:textId="77777777">
        <w:tc>
          <w:tcPr>
            <w:tcW w:w="5340" w:type="dxa"/>
            <w:tcBorders>
              <w:left w:val="single" w:sz="12" w:space="0" w:color="000000"/>
              <w:bottom w:val="single" w:sz="12" w:space="0" w:color="000000"/>
            </w:tcBorders>
            <w:shd w:val="clear" w:color="auto" w:fill="F2F2F2"/>
            <w:tcMar>
              <w:top w:w="100" w:type="dxa"/>
              <w:left w:w="100" w:type="dxa"/>
              <w:bottom w:w="100" w:type="dxa"/>
              <w:right w:w="100" w:type="dxa"/>
            </w:tcMar>
          </w:tcPr>
          <w:p w14:paraId="0D7D3B78" w14:textId="77777777" w:rsidR="00076856" w:rsidRDefault="00DE4299" w:rsidP="00756C58">
            <w:pPr>
              <w:widowControl w:val="0"/>
              <w:pBdr>
                <w:top w:val="nil"/>
                <w:left w:val="nil"/>
                <w:bottom w:val="nil"/>
                <w:right w:val="nil"/>
                <w:between w:val="nil"/>
              </w:pBdr>
              <w:spacing w:line="360" w:lineRule="auto"/>
              <w:rPr>
                <w:rFonts w:ascii="Arial" w:eastAsia="Arial" w:hAnsi="Arial" w:cs="Arial"/>
                <w:sz w:val="18"/>
                <w:szCs w:val="18"/>
              </w:rPr>
            </w:pPr>
            <w:r>
              <w:rPr>
                <w:rFonts w:ascii="Arial" w:eastAsia="Arial" w:hAnsi="Arial" w:cs="Arial"/>
                <w:sz w:val="18"/>
                <w:szCs w:val="18"/>
              </w:rPr>
              <w:t>UKUPAN REZULTAT</w:t>
            </w:r>
          </w:p>
        </w:tc>
        <w:tc>
          <w:tcPr>
            <w:tcW w:w="2158" w:type="dxa"/>
            <w:tcBorders>
              <w:bottom w:val="single" w:sz="12" w:space="0" w:color="000000"/>
            </w:tcBorders>
            <w:shd w:val="clear" w:color="auto" w:fill="F2F2F2"/>
            <w:tcMar>
              <w:top w:w="100" w:type="dxa"/>
              <w:left w:w="100" w:type="dxa"/>
              <w:bottom w:w="100" w:type="dxa"/>
              <w:right w:w="100" w:type="dxa"/>
            </w:tcMar>
          </w:tcPr>
          <w:p w14:paraId="185F23EB" w14:textId="77777777" w:rsidR="00076856" w:rsidRDefault="00076856" w:rsidP="00756C58">
            <w:pPr>
              <w:widowControl w:val="0"/>
              <w:pBdr>
                <w:top w:val="nil"/>
                <w:left w:val="nil"/>
                <w:bottom w:val="nil"/>
                <w:right w:val="nil"/>
                <w:between w:val="nil"/>
              </w:pBdr>
              <w:spacing w:line="360" w:lineRule="auto"/>
              <w:rPr>
                <w:rFonts w:ascii="Arial" w:eastAsia="Arial" w:hAnsi="Arial" w:cs="Arial"/>
                <w:sz w:val="18"/>
                <w:szCs w:val="18"/>
              </w:rPr>
            </w:pPr>
          </w:p>
        </w:tc>
        <w:tc>
          <w:tcPr>
            <w:tcW w:w="947" w:type="dxa"/>
            <w:tcBorders>
              <w:bottom w:val="single" w:sz="12" w:space="0" w:color="000000"/>
              <w:right w:val="single" w:sz="12" w:space="0" w:color="000000"/>
            </w:tcBorders>
            <w:shd w:val="clear" w:color="auto" w:fill="F2F2F2"/>
            <w:tcMar>
              <w:top w:w="100" w:type="dxa"/>
              <w:left w:w="100" w:type="dxa"/>
              <w:bottom w:w="100" w:type="dxa"/>
              <w:right w:w="100" w:type="dxa"/>
            </w:tcMar>
          </w:tcPr>
          <w:p w14:paraId="14F1A020" w14:textId="77777777" w:rsidR="00076856" w:rsidRDefault="00076856" w:rsidP="00756C58">
            <w:pPr>
              <w:widowControl w:val="0"/>
              <w:pBdr>
                <w:top w:val="nil"/>
                <w:left w:val="nil"/>
                <w:bottom w:val="nil"/>
                <w:right w:val="nil"/>
                <w:between w:val="nil"/>
              </w:pBdr>
              <w:spacing w:line="360" w:lineRule="auto"/>
              <w:rPr>
                <w:rFonts w:ascii="Arial" w:eastAsia="Arial" w:hAnsi="Arial" w:cs="Arial"/>
                <w:sz w:val="18"/>
                <w:szCs w:val="18"/>
              </w:rPr>
            </w:pPr>
          </w:p>
        </w:tc>
      </w:tr>
      <w:tr w:rsidR="00076856" w14:paraId="11CBE1FA" w14:textId="77777777">
        <w:tc>
          <w:tcPr>
            <w:tcW w:w="8445" w:type="dxa"/>
            <w:gridSpan w:val="3"/>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19D51C5" w14:textId="77777777" w:rsidR="00076856" w:rsidRDefault="00DE4299" w:rsidP="00756C58">
            <w:pPr>
              <w:spacing w:line="360" w:lineRule="auto"/>
              <w:rPr>
                <w:rFonts w:ascii="Arial" w:eastAsia="Arial" w:hAnsi="Arial" w:cs="Arial"/>
                <w:i/>
                <w:sz w:val="18"/>
                <w:szCs w:val="18"/>
              </w:rPr>
            </w:pPr>
            <w:r>
              <w:rPr>
                <w:rFonts w:ascii="Arial" w:eastAsia="Arial" w:hAnsi="Arial" w:cs="Arial"/>
                <w:i/>
                <w:sz w:val="18"/>
                <w:szCs w:val="18"/>
              </w:rPr>
              <w:t>Interpretacija:</w:t>
            </w:r>
          </w:p>
          <w:p w14:paraId="4B56B82D" w14:textId="77777777" w:rsidR="00076856" w:rsidRDefault="00DE4299" w:rsidP="00756C58">
            <w:pPr>
              <w:spacing w:line="360" w:lineRule="auto"/>
              <w:rPr>
                <w:rFonts w:ascii="Arial" w:eastAsia="Arial" w:hAnsi="Arial" w:cs="Arial"/>
                <w:i/>
                <w:sz w:val="18"/>
                <w:szCs w:val="18"/>
              </w:rPr>
            </w:pPr>
            <w:r>
              <w:rPr>
                <w:rFonts w:ascii="Arial" w:eastAsia="Arial" w:hAnsi="Arial" w:cs="Arial"/>
                <w:i/>
                <w:sz w:val="18"/>
                <w:szCs w:val="18"/>
              </w:rPr>
              <w:t>1-2 boda:  slaba ovisnost</w:t>
            </w:r>
          </w:p>
          <w:p w14:paraId="58E4665F" w14:textId="77777777" w:rsidR="00076856" w:rsidRDefault="00DE4299" w:rsidP="00756C58">
            <w:pPr>
              <w:spacing w:line="360" w:lineRule="auto"/>
              <w:rPr>
                <w:rFonts w:ascii="Arial" w:eastAsia="Arial" w:hAnsi="Arial" w:cs="Arial"/>
                <w:i/>
                <w:sz w:val="18"/>
                <w:szCs w:val="18"/>
              </w:rPr>
            </w:pPr>
            <w:r>
              <w:rPr>
                <w:rFonts w:ascii="Arial" w:eastAsia="Arial" w:hAnsi="Arial" w:cs="Arial"/>
                <w:i/>
                <w:sz w:val="18"/>
                <w:szCs w:val="18"/>
              </w:rPr>
              <w:t>3-4 boda:  slaba do srednje teška ovisnost</w:t>
            </w:r>
          </w:p>
          <w:p w14:paraId="4D38240D" w14:textId="77777777" w:rsidR="00076856" w:rsidRDefault="00DE4299" w:rsidP="00756C58">
            <w:pPr>
              <w:spacing w:line="360" w:lineRule="auto"/>
              <w:rPr>
                <w:rFonts w:ascii="Arial" w:eastAsia="Arial" w:hAnsi="Arial" w:cs="Arial"/>
                <w:i/>
                <w:sz w:val="18"/>
                <w:szCs w:val="18"/>
              </w:rPr>
            </w:pPr>
            <w:r>
              <w:rPr>
                <w:rFonts w:ascii="Arial" w:eastAsia="Arial" w:hAnsi="Arial" w:cs="Arial"/>
                <w:i/>
                <w:sz w:val="18"/>
                <w:szCs w:val="18"/>
              </w:rPr>
              <w:t xml:space="preserve">5-7 bodova: srednje teška ovisnost </w:t>
            </w:r>
          </w:p>
          <w:p w14:paraId="7DCBE2E2" w14:textId="77777777" w:rsidR="00076856" w:rsidRDefault="00DE4299" w:rsidP="00756C58">
            <w:pPr>
              <w:pBdr>
                <w:top w:val="nil"/>
                <w:left w:val="nil"/>
                <w:bottom w:val="nil"/>
                <w:right w:val="nil"/>
                <w:between w:val="nil"/>
              </w:pBdr>
              <w:spacing w:after="160" w:line="360" w:lineRule="auto"/>
              <w:rPr>
                <w:rFonts w:ascii="Arial" w:eastAsia="Arial" w:hAnsi="Arial" w:cs="Arial"/>
                <w:color w:val="000000"/>
                <w:sz w:val="18"/>
                <w:szCs w:val="18"/>
              </w:rPr>
            </w:pPr>
            <w:r>
              <w:rPr>
                <w:rFonts w:ascii="Arial" w:eastAsia="Arial" w:hAnsi="Arial" w:cs="Arial"/>
                <w:i/>
                <w:sz w:val="18"/>
                <w:szCs w:val="18"/>
              </w:rPr>
              <w:t xml:space="preserve">8 </w:t>
            </w:r>
            <w:r>
              <w:rPr>
                <w:rFonts w:ascii="Arial" w:eastAsia="Arial" w:hAnsi="Arial" w:cs="Arial"/>
                <w:i/>
                <w:color w:val="000000"/>
                <w:sz w:val="18"/>
                <w:szCs w:val="18"/>
              </w:rPr>
              <w:t>i više bodova: teška ovisnost</w:t>
            </w:r>
          </w:p>
        </w:tc>
      </w:tr>
    </w:tbl>
    <w:p w14:paraId="55A9009F" w14:textId="77777777" w:rsidR="00076856" w:rsidRDefault="00076856" w:rsidP="00756C58">
      <w:pPr>
        <w:pBdr>
          <w:top w:val="nil"/>
          <w:left w:val="nil"/>
          <w:bottom w:val="nil"/>
          <w:right w:val="nil"/>
          <w:between w:val="nil"/>
        </w:pBdr>
        <w:spacing w:line="360" w:lineRule="auto"/>
        <w:rPr>
          <w:rFonts w:ascii="Arial" w:eastAsia="Arial" w:hAnsi="Arial" w:cs="Arial"/>
          <w:b/>
        </w:rPr>
      </w:pPr>
    </w:p>
    <w:p w14:paraId="4F89B492" w14:textId="77777777" w:rsidR="00076856" w:rsidRPr="00DF5A02" w:rsidRDefault="00DF5A02" w:rsidP="00756C58">
      <w:pPr>
        <w:pStyle w:val="Heading2"/>
        <w:spacing w:line="360" w:lineRule="auto"/>
        <w:ind w:firstLine="720"/>
        <w:rPr>
          <w:rFonts w:ascii="Arial" w:hAnsi="Arial" w:cs="Arial"/>
          <w:sz w:val="24"/>
          <w:szCs w:val="24"/>
        </w:rPr>
      </w:pPr>
      <w:bookmarkStart w:id="11" w:name="_heading=h.p3x0if39d9lb" w:colFirst="0" w:colLast="0"/>
      <w:bookmarkStart w:id="12" w:name="_Toc75635798"/>
      <w:bookmarkEnd w:id="11"/>
      <w:r w:rsidRPr="00DF5A02">
        <w:rPr>
          <w:rFonts w:ascii="Arial" w:hAnsi="Arial" w:cs="Arial"/>
          <w:sz w:val="24"/>
          <w:szCs w:val="24"/>
        </w:rPr>
        <w:t xml:space="preserve">4.2. </w:t>
      </w:r>
      <w:r w:rsidR="001C6B46">
        <w:rPr>
          <w:rFonts w:ascii="Arial" w:hAnsi="Arial" w:cs="Arial"/>
          <w:sz w:val="24"/>
          <w:szCs w:val="24"/>
        </w:rPr>
        <w:tab/>
      </w:r>
      <w:r w:rsidR="00DE4299" w:rsidRPr="00DF5A02">
        <w:rPr>
          <w:rFonts w:ascii="Arial" w:hAnsi="Arial" w:cs="Arial"/>
          <w:sz w:val="24"/>
          <w:szCs w:val="24"/>
        </w:rPr>
        <w:t>Metodologija statističke obrade</w:t>
      </w:r>
      <w:bookmarkEnd w:id="12"/>
    </w:p>
    <w:p w14:paraId="70E11296" w14:textId="77777777" w:rsidR="00076856" w:rsidRPr="00A54222" w:rsidRDefault="00DE4299" w:rsidP="00756C58">
      <w:pPr>
        <w:pBdr>
          <w:top w:val="nil"/>
          <w:left w:val="nil"/>
          <w:bottom w:val="nil"/>
          <w:right w:val="nil"/>
          <w:between w:val="nil"/>
        </w:pBdr>
        <w:spacing w:line="360" w:lineRule="auto"/>
        <w:jc w:val="both"/>
        <w:rPr>
          <w:rFonts w:ascii="Arial" w:eastAsia="Arial" w:hAnsi="Arial" w:cs="Arial"/>
          <w:b/>
          <w:sz w:val="20"/>
        </w:rPr>
      </w:pPr>
      <w:r w:rsidRPr="00A54222">
        <w:rPr>
          <w:rFonts w:ascii="Arial" w:eastAsia="Arial" w:hAnsi="Arial" w:cs="Arial"/>
          <w:sz w:val="20"/>
        </w:rPr>
        <w:t xml:space="preserve">Prilikom obrade i analize podataka u statističkom programu IBM SPSS Version 25 za određivanje povezanosti između varijabli korišten je </w:t>
      </w:r>
      <w:r w:rsidRPr="00A54222">
        <w:rPr>
          <w:rFonts w:ascii="Times New Roman" w:eastAsia="Times New Roman" w:hAnsi="Times New Roman" w:cs="Times New Roman"/>
          <w:sz w:val="20"/>
        </w:rPr>
        <w:t>ꭓ</w:t>
      </w:r>
      <w:r w:rsidRPr="00A54222">
        <w:rPr>
          <w:rFonts w:ascii="Times New Roman" w:eastAsia="Times New Roman" w:hAnsi="Times New Roman" w:cs="Times New Roman"/>
          <w:sz w:val="20"/>
          <w:vertAlign w:val="superscript"/>
        </w:rPr>
        <w:t>2</w:t>
      </w:r>
      <w:r w:rsidRPr="00A54222">
        <w:rPr>
          <w:rFonts w:ascii="Arial" w:eastAsia="Arial" w:hAnsi="Arial" w:cs="Arial"/>
          <w:sz w:val="20"/>
        </w:rPr>
        <w:t xml:space="preserve">-test. Određeni nedostatak korištenja ovog testa prilikom statističke analize podataka ispitivanog uzorka je postojanje tzv. “mršavih ćelija”. Problem “mršavih ćelija” nastaje kada prilikom </w:t>
      </w:r>
      <w:r w:rsidRPr="00A54222">
        <w:rPr>
          <w:rFonts w:ascii="Times New Roman" w:eastAsia="Times New Roman" w:hAnsi="Times New Roman" w:cs="Times New Roman"/>
          <w:sz w:val="20"/>
        </w:rPr>
        <w:t>ꭓ</w:t>
      </w:r>
      <w:r w:rsidRPr="00A54222">
        <w:rPr>
          <w:rFonts w:ascii="Times New Roman" w:eastAsia="Times New Roman" w:hAnsi="Times New Roman" w:cs="Times New Roman"/>
          <w:sz w:val="20"/>
          <w:vertAlign w:val="superscript"/>
        </w:rPr>
        <w:t>2</w:t>
      </w:r>
      <w:r w:rsidRPr="00A54222">
        <w:rPr>
          <w:rFonts w:ascii="Arial" w:eastAsia="Arial" w:hAnsi="Arial" w:cs="Arial"/>
          <w:sz w:val="20"/>
        </w:rPr>
        <w:t>-testa te određivanja teorijskih frekvencija (za svaku kombinaciju kategorija u kontingencijskim tablicama) postoje teorijske frekvencije koje su manje od 5. Ovakav tip teorijskih frekvencija izbjegnut je grupiranjem kategorija u nadređene kategorije (npr. područje i tip studija). Nedostaci samih podataka proizlaze također i iz prigodnog uzorkovanja. Iako probabilističko uzorkovanje predstavlja  zlatni standard prilikom  inferencijalnog zaključivanja, ispitivani uzorak je dovoljno velik te statistička analiza može svejedno ukazati na značajne razlike između ispitanika što može pomoći pri kasnijem istraživanju nikotinske ovisnosti te njezinog društvenog konteksta. Hi-kvadrat test (ꭓ</w:t>
      </w:r>
      <w:r w:rsidRPr="00A54222">
        <w:rPr>
          <w:rFonts w:ascii="Arial" w:eastAsia="Arial" w:hAnsi="Arial" w:cs="Arial"/>
          <w:sz w:val="20"/>
          <w:vertAlign w:val="superscript"/>
        </w:rPr>
        <w:t>2</w:t>
      </w:r>
      <w:r w:rsidRPr="00A54222">
        <w:rPr>
          <w:rFonts w:ascii="Arial" w:eastAsia="Arial" w:hAnsi="Arial" w:cs="Arial"/>
          <w:sz w:val="20"/>
        </w:rPr>
        <w:t>) pripada neparametrijskim statističkim testovima. Odabran je zbog tipa varijabli koje su dovedene u vezu s Fagerströmovom skalom i pitanjima. Iako Fagerströmova skala koristi bodovanje pri sortiranju ispitanika u kategoriju težine nikotinske ovisnosti, bodovanje nije ekvidistantno tj. nije sigurno da je jednaka razlika u izražavanju nikotinske ovisnosti prema odgovorima ispitanika npr. onih koji imaju 4 boda i onih koji imaju 5 bodova. Stoga je u analizi korišteno bodovanje samo kako bi se ispitanici svrstali u ordinalne kategorije prema bodovima koje su postigli. Uz navedene iznose ꭓ</w:t>
      </w:r>
      <w:r w:rsidRPr="00A54222">
        <w:rPr>
          <w:rFonts w:ascii="Arial" w:eastAsia="Arial" w:hAnsi="Arial" w:cs="Arial"/>
          <w:sz w:val="20"/>
          <w:vertAlign w:val="superscript"/>
        </w:rPr>
        <w:t>2</w:t>
      </w:r>
      <w:r w:rsidRPr="00A54222">
        <w:rPr>
          <w:rFonts w:ascii="Arial" w:eastAsia="Arial" w:hAnsi="Arial" w:cs="Arial"/>
          <w:sz w:val="20"/>
        </w:rPr>
        <w:t>, stupnjeve slobode i P-vrijednosti, naveden je iznos Cramerovog V-a koji predstavlja mjeru kontingencije. Ovaj tip mjere potreban je za procjenu intenziteta povezanosti između analiziranih varijabli. Pri određivanju statističke značajnosti korištena je razina rizika od 5%.</w:t>
      </w:r>
    </w:p>
    <w:p w14:paraId="7425129D" w14:textId="179F7A5C" w:rsidR="00076856" w:rsidRDefault="00DE4299" w:rsidP="00756C58">
      <w:pPr>
        <w:pStyle w:val="Heading1"/>
        <w:spacing w:line="360" w:lineRule="auto"/>
        <w:rPr>
          <w:rFonts w:ascii="Arial" w:eastAsia="Arial" w:hAnsi="Arial" w:cs="Arial"/>
          <w:sz w:val="24"/>
          <w:szCs w:val="24"/>
        </w:rPr>
      </w:pPr>
      <w:bookmarkStart w:id="13" w:name="_heading=h.mw551vj8yqrx" w:colFirst="0" w:colLast="0"/>
      <w:bookmarkStart w:id="14" w:name="_Toc75635799"/>
      <w:bookmarkEnd w:id="13"/>
      <w:r>
        <w:rPr>
          <w:rFonts w:ascii="Arial" w:eastAsia="Arial" w:hAnsi="Arial" w:cs="Arial"/>
          <w:sz w:val="24"/>
          <w:szCs w:val="24"/>
        </w:rPr>
        <w:t>5. REZULTATI</w:t>
      </w:r>
      <w:bookmarkEnd w:id="14"/>
    </w:p>
    <w:p w14:paraId="4D47FC7B" w14:textId="77777777" w:rsidR="00076856" w:rsidRDefault="00DE4299" w:rsidP="00756C58">
      <w:pPr>
        <w:pStyle w:val="Heading2"/>
        <w:spacing w:after="240" w:line="360" w:lineRule="auto"/>
        <w:ind w:firstLine="720"/>
        <w:jc w:val="both"/>
        <w:rPr>
          <w:rFonts w:ascii="Arial" w:eastAsia="Arial" w:hAnsi="Arial" w:cs="Arial"/>
          <w:sz w:val="24"/>
          <w:szCs w:val="24"/>
        </w:rPr>
      </w:pPr>
      <w:bookmarkStart w:id="15" w:name="_heading=h.l0r1zf4p9plx" w:colFirst="0" w:colLast="0"/>
      <w:bookmarkStart w:id="16" w:name="_Toc75635800"/>
      <w:bookmarkEnd w:id="15"/>
      <w:r>
        <w:rPr>
          <w:rFonts w:ascii="Arial" w:eastAsia="Arial" w:hAnsi="Arial" w:cs="Arial"/>
          <w:sz w:val="24"/>
          <w:szCs w:val="24"/>
        </w:rPr>
        <w:t>5.1.</w:t>
      </w:r>
      <w:r>
        <w:rPr>
          <w:rFonts w:ascii="Arial" w:eastAsia="Arial" w:hAnsi="Arial" w:cs="Arial"/>
          <w:sz w:val="24"/>
          <w:szCs w:val="24"/>
        </w:rPr>
        <w:tab/>
        <w:t>Podjela ispitanika po spolu i fakultetu</w:t>
      </w:r>
      <w:bookmarkEnd w:id="16"/>
    </w:p>
    <w:p w14:paraId="5DADE6CE" w14:textId="77777777" w:rsidR="00076856" w:rsidRPr="00A54222" w:rsidRDefault="00DE4299" w:rsidP="00756C58">
      <w:pPr>
        <w:spacing w:before="240" w:after="240" w:line="360" w:lineRule="auto"/>
        <w:jc w:val="both"/>
        <w:rPr>
          <w:rFonts w:ascii="Arial" w:eastAsia="Arial" w:hAnsi="Arial" w:cs="Arial"/>
          <w:sz w:val="20"/>
        </w:rPr>
      </w:pPr>
      <w:r w:rsidRPr="00A54222">
        <w:rPr>
          <w:rFonts w:ascii="Arial" w:eastAsia="Arial" w:hAnsi="Arial" w:cs="Arial"/>
          <w:sz w:val="20"/>
        </w:rPr>
        <w:t>Od studenata i studentica koji su riješili upitnik značajno je veći udio studentica, čak 75,2%, dok muški studenti čine 24,8% u ukupnom udjelu ispitanika (1423 ispitanika).</w:t>
      </w:r>
    </w:p>
    <w:p w14:paraId="6C4EC424" w14:textId="77777777" w:rsidR="00A701FA" w:rsidRDefault="00A701FA" w:rsidP="00756C58">
      <w:pPr>
        <w:spacing w:before="240" w:after="240" w:line="360" w:lineRule="auto"/>
        <w:rPr>
          <w:rFonts w:ascii="Arial" w:eastAsia="Arial" w:hAnsi="Arial" w:cs="Arial"/>
          <w:b/>
          <w:sz w:val="20"/>
        </w:rPr>
      </w:pPr>
      <w:r>
        <w:rPr>
          <w:rFonts w:ascii="Arial" w:eastAsia="Arial" w:hAnsi="Arial" w:cs="Arial"/>
          <w:b/>
          <w:sz w:val="20"/>
        </w:rPr>
        <w:br w:type="page"/>
      </w:r>
    </w:p>
    <w:p w14:paraId="737C4ACB" w14:textId="625EDCF0" w:rsidR="00076856" w:rsidRPr="00A54222" w:rsidRDefault="00DE4299" w:rsidP="00756C58">
      <w:pPr>
        <w:spacing w:before="240" w:after="240" w:line="360" w:lineRule="auto"/>
        <w:rPr>
          <w:rFonts w:ascii="Arial" w:eastAsia="Arial" w:hAnsi="Arial" w:cs="Arial"/>
          <w:sz w:val="20"/>
        </w:rPr>
      </w:pPr>
      <w:r w:rsidRPr="00A54222">
        <w:rPr>
          <w:rFonts w:ascii="Arial" w:eastAsia="Arial" w:hAnsi="Arial" w:cs="Arial"/>
          <w:b/>
          <w:sz w:val="20"/>
        </w:rPr>
        <w:lastRenderedPageBreak/>
        <w:t>Tablica 3.</w:t>
      </w:r>
      <w:r w:rsidRPr="00A54222">
        <w:rPr>
          <w:rFonts w:ascii="Arial" w:eastAsia="Arial" w:hAnsi="Arial" w:cs="Arial"/>
          <w:b/>
          <w:sz w:val="20"/>
        </w:rPr>
        <w:tab/>
      </w:r>
      <w:r w:rsidRPr="00A54222">
        <w:rPr>
          <w:rFonts w:ascii="Arial" w:eastAsia="Arial" w:hAnsi="Arial" w:cs="Arial"/>
          <w:sz w:val="20"/>
        </w:rPr>
        <w:t xml:space="preserve">Raspodjela ispitanika po spolu i fakultetima na kojima studiraju </w:t>
      </w:r>
    </w:p>
    <w:tbl>
      <w:tblPr>
        <w:tblStyle w:val="af5"/>
        <w:tblW w:w="5000" w:type="pct"/>
        <w:tblBorders>
          <w:top w:val="nil"/>
          <w:left w:val="nil"/>
          <w:bottom w:val="nil"/>
          <w:right w:val="nil"/>
          <w:insideH w:val="nil"/>
          <w:insideV w:val="nil"/>
        </w:tblBorders>
        <w:tblLook w:val="0600" w:firstRow="0" w:lastRow="0" w:firstColumn="0" w:lastColumn="0" w:noHBand="1" w:noVBand="1"/>
      </w:tblPr>
      <w:tblGrid>
        <w:gridCol w:w="613"/>
        <w:gridCol w:w="745"/>
        <w:gridCol w:w="896"/>
        <w:gridCol w:w="1036"/>
        <w:gridCol w:w="1036"/>
        <w:gridCol w:w="957"/>
        <w:gridCol w:w="1036"/>
        <w:gridCol w:w="1036"/>
        <w:gridCol w:w="886"/>
        <w:gridCol w:w="1089"/>
      </w:tblGrid>
      <w:tr w:rsidR="00076856" w:rsidRPr="00A701FA" w14:paraId="0FC983C5" w14:textId="77777777" w:rsidTr="00E67E71">
        <w:trPr>
          <w:trHeight w:val="112"/>
        </w:trPr>
        <w:tc>
          <w:tcPr>
            <w:tcW w:w="5000" w:type="pct"/>
            <w:gridSpan w:val="10"/>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tcPr>
          <w:p w14:paraId="024E4569" w14:textId="77777777" w:rsidR="00076856" w:rsidRPr="00A701FA" w:rsidRDefault="00DE4299" w:rsidP="00756C58">
            <w:pPr>
              <w:spacing w:line="360" w:lineRule="auto"/>
              <w:ind w:left="60" w:right="60"/>
              <w:jc w:val="center"/>
              <w:rPr>
                <w:rFonts w:ascii="Arial" w:eastAsia="Arial" w:hAnsi="Arial" w:cs="Arial"/>
                <w:b/>
                <w:color w:val="010205"/>
                <w:sz w:val="20"/>
                <w:szCs w:val="20"/>
              </w:rPr>
            </w:pPr>
            <w:r w:rsidRPr="00A701FA">
              <w:rPr>
                <w:rFonts w:ascii="Arial" w:eastAsia="Arial" w:hAnsi="Arial" w:cs="Arial"/>
                <w:b/>
                <w:i/>
                <w:color w:val="010205"/>
                <w:sz w:val="20"/>
                <w:szCs w:val="20"/>
              </w:rPr>
              <w:t>Kontingencijska tablica varijable spola i fakulteta</w:t>
            </w:r>
          </w:p>
        </w:tc>
      </w:tr>
      <w:tr w:rsidR="00076856" w:rsidRPr="00A701FA" w14:paraId="36CA9B70" w14:textId="77777777" w:rsidTr="00E67E71">
        <w:trPr>
          <w:trHeight w:val="515"/>
        </w:trPr>
        <w:tc>
          <w:tcPr>
            <w:tcW w:w="1368" w:type="pct"/>
            <w:gridSpan w:val="3"/>
            <w:vMerge w:val="restart"/>
            <w:tcBorders>
              <w:top w:val="single" w:sz="12" w:space="0" w:color="000000"/>
              <w:left w:val="single" w:sz="12" w:space="0" w:color="000000"/>
              <w:bottom w:val="single" w:sz="4" w:space="0" w:color="000000"/>
              <w:right w:val="single" w:sz="12" w:space="0" w:color="000000"/>
            </w:tcBorders>
            <w:shd w:val="clear" w:color="auto" w:fill="FFFFFF"/>
            <w:tcMar>
              <w:top w:w="100" w:type="dxa"/>
              <w:left w:w="100" w:type="dxa"/>
              <w:bottom w:w="100" w:type="dxa"/>
              <w:right w:w="100" w:type="dxa"/>
            </w:tcMar>
            <w:vAlign w:val="bottom"/>
          </w:tcPr>
          <w:p w14:paraId="40D0E001" w14:textId="77777777" w:rsidR="00076856" w:rsidRPr="00A701FA" w:rsidRDefault="00DE4299" w:rsidP="00756C58">
            <w:pPr>
              <w:spacing w:before="240" w:line="360" w:lineRule="auto"/>
              <w:rPr>
                <w:rFonts w:ascii="Times New Roman" w:eastAsia="Times New Roman" w:hAnsi="Times New Roman" w:cs="Times New Roman"/>
                <w:sz w:val="20"/>
                <w:szCs w:val="20"/>
              </w:rPr>
            </w:pPr>
            <w:r w:rsidRPr="00A701FA">
              <w:rPr>
                <w:rFonts w:ascii="Times New Roman" w:eastAsia="Times New Roman" w:hAnsi="Times New Roman" w:cs="Times New Roman"/>
                <w:sz w:val="20"/>
                <w:szCs w:val="20"/>
              </w:rPr>
              <w:t xml:space="preserve"> </w:t>
            </w:r>
          </w:p>
        </w:tc>
        <w:tc>
          <w:tcPr>
            <w:tcW w:w="3110" w:type="pct"/>
            <w:gridSpan w:val="6"/>
            <w:tcBorders>
              <w:top w:val="single" w:sz="12" w:space="0" w:color="000000"/>
              <w:left w:val="single" w:sz="12" w:space="0" w:color="000000"/>
              <w:bottom w:val="single" w:sz="4" w:space="0" w:color="000000"/>
              <w:right w:val="single" w:sz="12" w:space="0" w:color="000000"/>
            </w:tcBorders>
            <w:shd w:val="clear" w:color="auto" w:fill="FFFFFF"/>
            <w:tcMar>
              <w:top w:w="100" w:type="dxa"/>
              <w:left w:w="100" w:type="dxa"/>
              <w:bottom w:w="100" w:type="dxa"/>
              <w:right w:w="100" w:type="dxa"/>
            </w:tcMar>
            <w:vAlign w:val="bottom"/>
          </w:tcPr>
          <w:p w14:paraId="282E6320" w14:textId="77777777" w:rsidR="00076856" w:rsidRPr="00A701FA" w:rsidRDefault="00DE4299" w:rsidP="00756C58">
            <w:pPr>
              <w:spacing w:line="360" w:lineRule="auto"/>
              <w:ind w:left="60" w:right="60"/>
              <w:jc w:val="center"/>
              <w:rPr>
                <w:rFonts w:ascii="Arial" w:eastAsia="Arial" w:hAnsi="Arial" w:cs="Arial"/>
                <w:sz w:val="20"/>
                <w:szCs w:val="20"/>
              </w:rPr>
            </w:pPr>
            <w:r w:rsidRPr="00A701FA">
              <w:rPr>
                <w:rFonts w:ascii="Arial" w:eastAsia="Arial" w:hAnsi="Arial" w:cs="Arial"/>
                <w:sz w:val="20"/>
                <w:szCs w:val="20"/>
              </w:rPr>
              <w:t>Fakultet</w:t>
            </w:r>
          </w:p>
        </w:tc>
        <w:tc>
          <w:tcPr>
            <w:tcW w:w="523" w:type="pct"/>
            <w:vMerge w:val="restart"/>
            <w:tcBorders>
              <w:top w:val="single" w:sz="12" w:space="0" w:color="000000"/>
              <w:left w:val="single" w:sz="12" w:space="0" w:color="000000"/>
              <w:bottom w:val="single" w:sz="4" w:space="0" w:color="000000"/>
              <w:right w:val="single" w:sz="12" w:space="0" w:color="000000"/>
            </w:tcBorders>
            <w:shd w:val="clear" w:color="auto" w:fill="F2F2F2"/>
            <w:tcMar>
              <w:top w:w="100" w:type="dxa"/>
              <w:left w:w="100" w:type="dxa"/>
              <w:bottom w:w="100" w:type="dxa"/>
              <w:right w:w="100" w:type="dxa"/>
            </w:tcMar>
            <w:vAlign w:val="center"/>
          </w:tcPr>
          <w:p w14:paraId="169D9786" w14:textId="77777777" w:rsidR="00076856" w:rsidRPr="00A701FA" w:rsidRDefault="00DE4299" w:rsidP="00756C58">
            <w:pPr>
              <w:spacing w:line="360" w:lineRule="auto"/>
              <w:ind w:left="60" w:right="60"/>
              <w:rPr>
                <w:rFonts w:ascii="Arial" w:eastAsia="Arial" w:hAnsi="Arial" w:cs="Arial"/>
                <w:sz w:val="20"/>
                <w:szCs w:val="20"/>
              </w:rPr>
            </w:pPr>
            <w:r w:rsidRPr="00A701FA">
              <w:rPr>
                <w:rFonts w:ascii="Arial" w:eastAsia="Arial" w:hAnsi="Arial" w:cs="Arial"/>
                <w:sz w:val="20"/>
                <w:szCs w:val="20"/>
              </w:rPr>
              <w:t>Sveukupno</w:t>
            </w:r>
          </w:p>
        </w:tc>
      </w:tr>
      <w:tr w:rsidR="00076856" w:rsidRPr="00A701FA" w14:paraId="1E84CA72" w14:textId="77777777" w:rsidTr="00E67E71">
        <w:trPr>
          <w:trHeight w:val="1701"/>
        </w:trPr>
        <w:tc>
          <w:tcPr>
            <w:tcW w:w="1368" w:type="pct"/>
            <w:gridSpan w:val="3"/>
            <w:vMerge/>
            <w:tcBorders>
              <w:top w:val="single" w:sz="12" w:space="0" w:color="000000"/>
              <w:left w:val="single" w:sz="12" w:space="0" w:color="000000"/>
              <w:bottom w:val="single" w:sz="4" w:space="0" w:color="000000"/>
              <w:right w:val="single" w:sz="12" w:space="0" w:color="000000"/>
            </w:tcBorders>
            <w:shd w:val="clear" w:color="auto" w:fill="FFFFFF"/>
            <w:tcMar>
              <w:top w:w="100" w:type="dxa"/>
              <w:left w:w="100" w:type="dxa"/>
              <w:bottom w:w="100" w:type="dxa"/>
              <w:right w:w="100" w:type="dxa"/>
            </w:tcMar>
            <w:vAlign w:val="bottom"/>
          </w:tcPr>
          <w:p w14:paraId="15B9F487" w14:textId="77777777" w:rsidR="00076856" w:rsidRPr="00A701FA" w:rsidRDefault="00076856" w:rsidP="00756C58">
            <w:pPr>
              <w:widowControl w:val="0"/>
              <w:pBdr>
                <w:top w:val="nil"/>
                <w:left w:val="nil"/>
                <w:bottom w:val="nil"/>
                <w:right w:val="nil"/>
                <w:between w:val="nil"/>
              </w:pBdr>
              <w:spacing w:line="360" w:lineRule="auto"/>
              <w:rPr>
                <w:rFonts w:ascii="Arial" w:eastAsia="Arial" w:hAnsi="Arial" w:cs="Arial"/>
                <w:sz w:val="20"/>
                <w:szCs w:val="20"/>
              </w:rPr>
            </w:pPr>
          </w:p>
        </w:tc>
        <w:tc>
          <w:tcPr>
            <w:tcW w:w="498" w:type="pct"/>
            <w:tcBorders>
              <w:top w:val="single" w:sz="12" w:space="0" w:color="000000"/>
              <w:left w:val="single" w:sz="12" w:space="0" w:color="000000"/>
              <w:bottom w:val="single" w:sz="12" w:space="0" w:color="000000"/>
              <w:right w:val="single" w:sz="4" w:space="0" w:color="000000"/>
            </w:tcBorders>
            <w:shd w:val="clear" w:color="auto" w:fill="FFFFFF"/>
            <w:tcMar>
              <w:top w:w="100" w:type="dxa"/>
              <w:left w:w="100" w:type="dxa"/>
              <w:bottom w:w="100" w:type="dxa"/>
              <w:right w:w="100" w:type="dxa"/>
            </w:tcMar>
            <w:vAlign w:val="center"/>
          </w:tcPr>
          <w:p w14:paraId="19E6948B" w14:textId="498E5FD4" w:rsidR="00076856" w:rsidRPr="00A701FA" w:rsidRDefault="00DE4299" w:rsidP="00756C58">
            <w:pPr>
              <w:spacing w:line="360" w:lineRule="auto"/>
              <w:ind w:left="60" w:right="60"/>
              <w:rPr>
                <w:rFonts w:ascii="Arial" w:eastAsia="Arial" w:hAnsi="Arial" w:cs="Arial"/>
                <w:sz w:val="20"/>
                <w:szCs w:val="20"/>
              </w:rPr>
            </w:pPr>
            <w:r w:rsidRPr="00A701FA">
              <w:rPr>
                <w:rFonts w:ascii="Arial" w:eastAsia="Arial" w:hAnsi="Arial" w:cs="Arial"/>
                <w:sz w:val="20"/>
                <w:szCs w:val="20"/>
              </w:rPr>
              <w:t>Medicinski fakultet u Zagreb</w:t>
            </w:r>
          </w:p>
        </w:tc>
        <w:tc>
          <w:tcPr>
            <w:tcW w:w="522" w:type="pct"/>
            <w:tcBorders>
              <w:top w:val="single" w:sz="12" w:space="0" w:color="000000"/>
              <w:left w:val="single" w:sz="4" w:space="0" w:color="000000"/>
              <w:bottom w:val="single" w:sz="12" w:space="0" w:color="000000"/>
              <w:right w:val="single" w:sz="4" w:space="0" w:color="000000"/>
            </w:tcBorders>
            <w:shd w:val="clear" w:color="auto" w:fill="FFFFFF"/>
            <w:tcMar>
              <w:top w:w="100" w:type="dxa"/>
              <w:left w:w="100" w:type="dxa"/>
              <w:bottom w:w="100" w:type="dxa"/>
              <w:right w:w="100" w:type="dxa"/>
            </w:tcMar>
            <w:vAlign w:val="center"/>
          </w:tcPr>
          <w:p w14:paraId="3DDD667F" w14:textId="77777777" w:rsidR="00076856" w:rsidRPr="00A701FA" w:rsidRDefault="00DE4299" w:rsidP="00756C58">
            <w:pPr>
              <w:spacing w:line="360" w:lineRule="auto"/>
              <w:ind w:left="60" w:right="60"/>
              <w:rPr>
                <w:rFonts w:ascii="Arial" w:eastAsia="Arial" w:hAnsi="Arial" w:cs="Arial"/>
                <w:sz w:val="20"/>
                <w:szCs w:val="20"/>
              </w:rPr>
            </w:pPr>
            <w:r w:rsidRPr="00A701FA">
              <w:rPr>
                <w:rFonts w:ascii="Arial" w:eastAsia="Arial" w:hAnsi="Arial" w:cs="Arial"/>
                <w:sz w:val="20"/>
                <w:szCs w:val="20"/>
              </w:rPr>
              <w:t>Medicinski fakultet u Rijeci</w:t>
            </w:r>
          </w:p>
        </w:tc>
        <w:tc>
          <w:tcPr>
            <w:tcW w:w="523" w:type="pct"/>
            <w:tcBorders>
              <w:top w:val="single" w:sz="12" w:space="0" w:color="000000"/>
              <w:left w:val="single" w:sz="4" w:space="0" w:color="000000"/>
              <w:bottom w:val="single" w:sz="12" w:space="0" w:color="000000"/>
              <w:right w:val="single" w:sz="4" w:space="0" w:color="000000"/>
            </w:tcBorders>
            <w:shd w:val="clear" w:color="auto" w:fill="FFFFFF"/>
            <w:tcMar>
              <w:top w:w="100" w:type="dxa"/>
              <w:left w:w="100" w:type="dxa"/>
              <w:bottom w:w="100" w:type="dxa"/>
              <w:right w:w="100" w:type="dxa"/>
            </w:tcMar>
            <w:vAlign w:val="center"/>
          </w:tcPr>
          <w:p w14:paraId="71B1F358" w14:textId="77777777" w:rsidR="00076856" w:rsidRPr="00A701FA" w:rsidRDefault="00DE4299" w:rsidP="00756C58">
            <w:pPr>
              <w:spacing w:line="360" w:lineRule="auto"/>
              <w:ind w:left="60" w:right="60"/>
              <w:rPr>
                <w:rFonts w:ascii="Arial" w:eastAsia="Arial" w:hAnsi="Arial" w:cs="Arial"/>
                <w:sz w:val="20"/>
                <w:szCs w:val="20"/>
              </w:rPr>
            </w:pPr>
            <w:r w:rsidRPr="00A701FA">
              <w:rPr>
                <w:rFonts w:ascii="Arial" w:eastAsia="Arial" w:hAnsi="Arial" w:cs="Arial"/>
                <w:sz w:val="20"/>
                <w:szCs w:val="20"/>
              </w:rPr>
              <w:t>Filozofski fakultet   u Zagrebu</w:t>
            </w:r>
          </w:p>
        </w:tc>
        <w:tc>
          <w:tcPr>
            <w:tcW w:w="522" w:type="pct"/>
            <w:tcBorders>
              <w:top w:val="single" w:sz="12" w:space="0" w:color="000000"/>
              <w:left w:val="single" w:sz="4" w:space="0" w:color="000000"/>
              <w:bottom w:val="single" w:sz="12" w:space="0" w:color="000000"/>
              <w:right w:val="single" w:sz="4" w:space="0" w:color="000000"/>
            </w:tcBorders>
            <w:shd w:val="clear" w:color="auto" w:fill="FFFFFF"/>
            <w:tcMar>
              <w:top w:w="100" w:type="dxa"/>
              <w:left w:w="100" w:type="dxa"/>
              <w:bottom w:w="100" w:type="dxa"/>
              <w:right w:w="100" w:type="dxa"/>
            </w:tcMar>
            <w:vAlign w:val="center"/>
          </w:tcPr>
          <w:p w14:paraId="52D175AC" w14:textId="77777777" w:rsidR="00076856" w:rsidRPr="00A701FA" w:rsidRDefault="00DE4299" w:rsidP="00756C58">
            <w:pPr>
              <w:spacing w:line="360" w:lineRule="auto"/>
              <w:ind w:left="60" w:right="60"/>
              <w:rPr>
                <w:rFonts w:ascii="Arial" w:eastAsia="Arial" w:hAnsi="Arial" w:cs="Arial"/>
                <w:sz w:val="20"/>
                <w:szCs w:val="20"/>
              </w:rPr>
            </w:pPr>
            <w:r w:rsidRPr="00A701FA">
              <w:rPr>
                <w:rFonts w:ascii="Arial" w:eastAsia="Arial" w:hAnsi="Arial" w:cs="Arial"/>
                <w:sz w:val="20"/>
                <w:szCs w:val="20"/>
              </w:rPr>
              <w:t>Akademija dramske umjetnosti              u Zagrebu</w:t>
            </w:r>
          </w:p>
        </w:tc>
        <w:tc>
          <w:tcPr>
            <w:tcW w:w="522" w:type="pct"/>
            <w:tcBorders>
              <w:top w:val="single" w:sz="12" w:space="0" w:color="000000"/>
              <w:left w:val="single" w:sz="4" w:space="0" w:color="000000"/>
              <w:bottom w:val="single" w:sz="12" w:space="0" w:color="000000"/>
              <w:right w:val="single" w:sz="4" w:space="0" w:color="000000"/>
            </w:tcBorders>
            <w:shd w:val="clear" w:color="auto" w:fill="FFFFFF"/>
            <w:tcMar>
              <w:top w:w="100" w:type="dxa"/>
              <w:left w:w="100" w:type="dxa"/>
              <w:bottom w:w="100" w:type="dxa"/>
              <w:right w:w="100" w:type="dxa"/>
            </w:tcMar>
            <w:vAlign w:val="center"/>
          </w:tcPr>
          <w:p w14:paraId="489C2751" w14:textId="77777777" w:rsidR="00076856" w:rsidRPr="00A701FA" w:rsidRDefault="00DE4299" w:rsidP="00756C58">
            <w:pPr>
              <w:spacing w:line="360" w:lineRule="auto"/>
              <w:ind w:left="60" w:right="60"/>
              <w:rPr>
                <w:rFonts w:ascii="Arial" w:eastAsia="Arial" w:hAnsi="Arial" w:cs="Arial"/>
                <w:sz w:val="20"/>
                <w:szCs w:val="20"/>
              </w:rPr>
            </w:pPr>
            <w:r w:rsidRPr="00A701FA">
              <w:rPr>
                <w:rFonts w:ascii="Arial" w:eastAsia="Arial" w:hAnsi="Arial" w:cs="Arial"/>
                <w:sz w:val="20"/>
                <w:szCs w:val="20"/>
              </w:rPr>
              <w:t>Akademija za umjetnost i kulturu u Osijeku</w:t>
            </w:r>
          </w:p>
        </w:tc>
        <w:tc>
          <w:tcPr>
            <w:tcW w:w="522" w:type="pct"/>
            <w:tcBorders>
              <w:top w:val="single" w:sz="12" w:space="0" w:color="000000"/>
              <w:left w:val="single" w:sz="4"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299D347B" w14:textId="77777777" w:rsidR="00076856" w:rsidRPr="00A701FA" w:rsidRDefault="00DE4299" w:rsidP="00756C58">
            <w:pPr>
              <w:spacing w:line="360" w:lineRule="auto"/>
              <w:ind w:left="60" w:right="60"/>
              <w:rPr>
                <w:rFonts w:ascii="Arial" w:eastAsia="Arial" w:hAnsi="Arial" w:cs="Arial"/>
                <w:sz w:val="20"/>
                <w:szCs w:val="20"/>
              </w:rPr>
            </w:pPr>
            <w:r w:rsidRPr="00A701FA">
              <w:rPr>
                <w:rFonts w:ascii="Arial" w:eastAsia="Arial" w:hAnsi="Arial" w:cs="Arial"/>
                <w:sz w:val="20"/>
                <w:szCs w:val="20"/>
              </w:rPr>
              <w:t>Pravni fakultet       u Zagrebu</w:t>
            </w:r>
          </w:p>
        </w:tc>
        <w:tc>
          <w:tcPr>
            <w:tcW w:w="523" w:type="pct"/>
            <w:vMerge/>
            <w:tcBorders>
              <w:top w:val="single" w:sz="12" w:space="0" w:color="000000"/>
              <w:left w:val="single" w:sz="12" w:space="0" w:color="000000"/>
              <w:bottom w:val="single" w:sz="4" w:space="0" w:color="000000"/>
              <w:right w:val="single" w:sz="12" w:space="0" w:color="000000"/>
            </w:tcBorders>
            <w:shd w:val="clear" w:color="auto" w:fill="F2F2F2"/>
            <w:tcMar>
              <w:top w:w="100" w:type="dxa"/>
              <w:left w:w="100" w:type="dxa"/>
              <w:bottom w:w="100" w:type="dxa"/>
              <w:right w:w="100" w:type="dxa"/>
            </w:tcMar>
            <w:vAlign w:val="center"/>
          </w:tcPr>
          <w:p w14:paraId="0EF3154C" w14:textId="77777777" w:rsidR="00076856" w:rsidRPr="00A701FA" w:rsidRDefault="00076856" w:rsidP="00756C58">
            <w:pPr>
              <w:widowControl w:val="0"/>
              <w:pBdr>
                <w:top w:val="nil"/>
                <w:left w:val="nil"/>
                <w:bottom w:val="nil"/>
                <w:right w:val="nil"/>
                <w:between w:val="nil"/>
              </w:pBdr>
              <w:spacing w:line="360" w:lineRule="auto"/>
              <w:rPr>
                <w:rFonts w:ascii="Arial" w:eastAsia="Arial" w:hAnsi="Arial" w:cs="Arial"/>
                <w:sz w:val="20"/>
                <w:szCs w:val="20"/>
              </w:rPr>
            </w:pPr>
          </w:p>
        </w:tc>
      </w:tr>
      <w:tr w:rsidR="00076856" w:rsidRPr="00A701FA" w14:paraId="1D761377" w14:textId="77777777" w:rsidTr="00E67E71">
        <w:trPr>
          <w:trHeight w:val="530"/>
        </w:trPr>
        <w:tc>
          <w:tcPr>
            <w:tcW w:w="372" w:type="pct"/>
            <w:vMerge w:val="restart"/>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vAlign w:val="center"/>
          </w:tcPr>
          <w:p w14:paraId="675735FA" w14:textId="77777777" w:rsidR="00076856" w:rsidRPr="00A701FA" w:rsidRDefault="00DE4299" w:rsidP="00756C58">
            <w:pPr>
              <w:spacing w:line="360" w:lineRule="auto"/>
              <w:ind w:left="60" w:right="60"/>
              <w:jc w:val="center"/>
              <w:rPr>
                <w:rFonts w:ascii="Arial" w:eastAsia="Arial" w:hAnsi="Arial" w:cs="Arial"/>
                <w:sz w:val="20"/>
                <w:szCs w:val="20"/>
              </w:rPr>
            </w:pPr>
            <w:r w:rsidRPr="00A701FA">
              <w:rPr>
                <w:rFonts w:ascii="Arial" w:eastAsia="Arial" w:hAnsi="Arial" w:cs="Arial"/>
                <w:sz w:val="20"/>
                <w:szCs w:val="20"/>
              </w:rPr>
              <w:t>Spol</w:t>
            </w:r>
          </w:p>
        </w:tc>
        <w:tc>
          <w:tcPr>
            <w:tcW w:w="443" w:type="pct"/>
            <w:vMerge w:val="restart"/>
            <w:tcBorders>
              <w:top w:val="single" w:sz="12" w:space="0" w:color="000000"/>
              <w:left w:val="single" w:sz="12" w:space="0" w:color="000000"/>
              <w:bottom w:val="single" w:sz="4" w:space="0" w:color="000000"/>
              <w:right w:val="single" w:sz="12" w:space="0" w:color="000000"/>
            </w:tcBorders>
            <w:shd w:val="clear" w:color="auto" w:fill="auto"/>
            <w:tcMar>
              <w:top w:w="100" w:type="dxa"/>
              <w:left w:w="100" w:type="dxa"/>
              <w:bottom w:w="100" w:type="dxa"/>
              <w:right w:w="100" w:type="dxa"/>
            </w:tcMar>
            <w:vAlign w:val="center"/>
          </w:tcPr>
          <w:p w14:paraId="17BEAB5D" w14:textId="77777777" w:rsidR="00076856" w:rsidRPr="00A701FA" w:rsidRDefault="00DE4299" w:rsidP="00756C58">
            <w:pPr>
              <w:spacing w:line="360" w:lineRule="auto"/>
              <w:ind w:left="60" w:right="60"/>
              <w:jc w:val="center"/>
              <w:rPr>
                <w:rFonts w:ascii="Arial" w:eastAsia="Arial" w:hAnsi="Arial" w:cs="Arial"/>
                <w:sz w:val="20"/>
                <w:szCs w:val="20"/>
              </w:rPr>
            </w:pPr>
            <w:r w:rsidRPr="00A701FA">
              <w:rPr>
                <w:rFonts w:ascii="Arial" w:eastAsia="Arial" w:hAnsi="Arial" w:cs="Arial"/>
                <w:sz w:val="20"/>
                <w:szCs w:val="20"/>
              </w:rPr>
              <w:t>ženski</w:t>
            </w:r>
          </w:p>
        </w:tc>
        <w:tc>
          <w:tcPr>
            <w:tcW w:w="553" w:type="pct"/>
            <w:tcBorders>
              <w:top w:val="single" w:sz="12" w:space="0" w:color="000000"/>
              <w:left w:val="single" w:sz="12" w:space="0" w:color="000000"/>
              <w:bottom w:val="single" w:sz="4" w:space="0" w:color="000000"/>
              <w:right w:val="single" w:sz="12" w:space="0" w:color="000000"/>
            </w:tcBorders>
            <w:shd w:val="clear" w:color="auto" w:fill="auto"/>
            <w:tcMar>
              <w:top w:w="100" w:type="dxa"/>
              <w:left w:w="100" w:type="dxa"/>
              <w:bottom w:w="100" w:type="dxa"/>
              <w:right w:w="100" w:type="dxa"/>
            </w:tcMar>
          </w:tcPr>
          <w:p w14:paraId="08C0C5B6" w14:textId="77777777" w:rsidR="00076856" w:rsidRPr="00A701FA" w:rsidRDefault="00DE4299" w:rsidP="00756C58">
            <w:pPr>
              <w:spacing w:line="360" w:lineRule="auto"/>
              <w:ind w:left="60" w:right="60"/>
              <w:rPr>
                <w:rFonts w:ascii="Arial" w:eastAsia="Arial" w:hAnsi="Arial" w:cs="Arial"/>
                <w:sz w:val="20"/>
                <w:szCs w:val="20"/>
              </w:rPr>
            </w:pPr>
            <w:r w:rsidRPr="00A701FA">
              <w:rPr>
                <w:rFonts w:ascii="Arial" w:eastAsia="Arial" w:hAnsi="Arial" w:cs="Arial"/>
                <w:sz w:val="20"/>
                <w:szCs w:val="20"/>
              </w:rPr>
              <w:t>Broj (N)</w:t>
            </w:r>
          </w:p>
        </w:tc>
        <w:tc>
          <w:tcPr>
            <w:tcW w:w="498" w:type="pct"/>
            <w:tcBorders>
              <w:top w:val="single" w:sz="12" w:space="0" w:color="000000"/>
              <w:left w:val="single" w:sz="12" w:space="0" w:color="000000"/>
              <w:bottom w:val="single" w:sz="4" w:space="0" w:color="000000"/>
              <w:right w:val="single" w:sz="4" w:space="0" w:color="000000"/>
            </w:tcBorders>
            <w:shd w:val="clear" w:color="auto" w:fill="auto"/>
            <w:tcMar>
              <w:top w:w="100" w:type="dxa"/>
              <w:left w:w="100" w:type="dxa"/>
              <w:bottom w:w="100" w:type="dxa"/>
              <w:right w:w="100" w:type="dxa"/>
            </w:tcMar>
          </w:tcPr>
          <w:p w14:paraId="666D9010" w14:textId="77777777" w:rsidR="00076856" w:rsidRPr="00A701FA" w:rsidRDefault="00DE4299" w:rsidP="00756C58">
            <w:pPr>
              <w:spacing w:line="360" w:lineRule="auto"/>
              <w:ind w:left="60" w:right="60"/>
              <w:jc w:val="right"/>
              <w:rPr>
                <w:rFonts w:ascii="Arial" w:eastAsia="Arial" w:hAnsi="Arial" w:cs="Arial"/>
                <w:sz w:val="20"/>
                <w:szCs w:val="20"/>
              </w:rPr>
            </w:pPr>
            <w:r w:rsidRPr="00A701FA">
              <w:rPr>
                <w:rFonts w:ascii="Arial" w:eastAsia="Arial" w:hAnsi="Arial" w:cs="Arial"/>
                <w:sz w:val="20"/>
                <w:szCs w:val="20"/>
              </w:rPr>
              <w:t>198</w:t>
            </w:r>
          </w:p>
        </w:tc>
        <w:tc>
          <w:tcPr>
            <w:tcW w:w="522" w:type="pct"/>
            <w:tcBorders>
              <w:top w:val="single" w:sz="12"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43C9174" w14:textId="77777777" w:rsidR="00076856" w:rsidRPr="00A701FA" w:rsidRDefault="00DE4299" w:rsidP="00756C58">
            <w:pPr>
              <w:spacing w:line="360" w:lineRule="auto"/>
              <w:ind w:left="60" w:right="60"/>
              <w:jc w:val="right"/>
              <w:rPr>
                <w:rFonts w:ascii="Arial" w:eastAsia="Arial" w:hAnsi="Arial" w:cs="Arial"/>
                <w:sz w:val="20"/>
                <w:szCs w:val="20"/>
              </w:rPr>
            </w:pPr>
            <w:r w:rsidRPr="00A701FA">
              <w:rPr>
                <w:rFonts w:ascii="Arial" w:eastAsia="Arial" w:hAnsi="Arial" w:cs="Arial"/>
                <w:sz w:val="20"/>
                <w:szCs w:val="20"/>
              </w:rPr>
              <w:t>81</w:t>
            </w:r>
          </w:p>
        </w:tc>
        <w:tc>
          <w:tcPr>
            <w:tcW w:w="523" w:type="pct"/>
            <w:tcBorders>
              <w:top w:val="single" w:sz="12"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2A4C83C" w14:textId="77777777" w:rsidR="00076856" w:rsidRPr="00A701FA" w:rsidRDefault="00DE4299" w:rsidP="00756C58">
            <w:pPr>
              <w:spacing w:line="360" w:lineRule="auto"/>
              <w:ind w:left="60" w:right="60"/>
              <w:jc w:val="right"/>
              <w:rPr>
                <w:rFonts w:ascii="Arial" w:eastAsia="Arial" w:hAnsi="Arial" w:cs="Arial"/>
                <w:sz w:val="20"/>
                <w:szCs w:val="20"/>
              </w:rPr>
            </w:pPr>
            <w:r w:rsidRPr="00A701FA">
              <w:rPr>
                <w:rFonts w:ascii="Arial" w:eastAsia="Arial" w:hAnsi="Arial" w:cs="Arial"/>
                <w:sz w:val="20"/>
                <w:szCs w:val="20"/>
              </w:rPr>
              <w:t>276</w:t>
            </w:r>
          </w:p>
        </w:tc>
        <w:tc>
          <w:tcPr>
            <w:tcW w:w="522" w:type="pct"/>
            <w:tcBorders>
              <w:top w:val="single" w:sz="12"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6A28F5F" w14:textId="77777777" w:rsidR="00076856" w:rsidRPr="00A701FA" w:rsidRDefault="00DE4299" w:rsidP="00756C58">
            <w:pPr>
              <w:spacing w:line="360" w:lineRule="auto"/>
              <w:ind w:left="60" w:right="60"/>
              <w:jc w:val="right"/>
              <w:rPr>
                <w:rFonts w:ascii="Arial" w:eastAsia="Arial" w:hAnsi="Arial" w:cs="Arial"/>
                <w:sz w:val="20"/>
                <w:szCs w:val="20"/>
              </w:rPr>
            </w:pPr>
            <w:r w:rsidRPr="00A701FA">
              <w:rPr>
                <w:rFonts w:ascii="Arial" w:eastAsia="Arial" w:hAnsi="Arial" w:cs="Arial"/>
                <w:sz w:val="20"/>
                <w:szCs w:val="20"/>
              </w:rPr>
              <w:t>26</w:t>
            </w:r>
          </w:p>
        </w:tc>
        <w:tc>
          <w:tcPr>
            <w:tcW w:w="522" w:type="pct"/>
            <w:tcBorders>
              <w:top w:val="single" w:sz="12"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56306CE" w14:textId="77777777" w:rsidR="00076856" w:rsidRPr="00A701FA" w:rsidRDefault="00DE4299" w:rsidP="00756C58">
            <w:pPr>
              <w:spacing w:line="360" w:lineRule="auto"/>
              <w:ind w:left="60" w:right="60"/>
              <w:jc w:val="right"/>
              <w:rPr>
                <w:rFonts w:ascii="Arial" w:eastAsia="Arial" w:hAnsi="Arial" w:cs="Arial"/>
                <w:sz w:val="20"/>
                <w:szCs w:val="20"/>
              </w:rPr>
            </w:pPr>
            <w:r w:rsidRPr="00A701FA">
              <w:rPr>
                <w:rFonts w:ascii="Arial" w:eastAsia="Arial" w:hAnsi="Arial" w:cs="Arial"/>
                <w:sz w:val="20"/>
                <w:szCs w:val="20"/>
              </w:rPr>
              <w:t>50</w:t>
            </w:r>
          </w:p>
        </w:tc>
        <w:tc>
          <w:tcPr>
            <w:tcW w:w="522" w:type="pct"/>
            <w:tcBorders>
              <w:top w:val="single" w:sz="12" w:space="0" w:color="000000"/>
              <w:left w:val="single" w:sz="4" w:space="0" w:color="000000"/>
              <w:bottom w:val="single" w:sz="4" w:space="0" w:color="000000"/>
              <w:right w:val="single" w:sz="12" w:space="0" w:color="000000"/>
            </w:tcBorders>
            <w:shd w:val="clear" w:color="auto" w:fill="auto"/>
            <w:tcMar>
              <w:top w:w="100" w:type="dxa"/>
              <w:left w:w="100" w:type="dxa"/>
              <w:bottom w:w="100" w:type="dxa"/>
              <w:right w:w="100" w:type="dxa"/>
            </w:tcMar>
          </w:tcPr>
          <w:p w14:paraId="1308D7C4" w14:textId="77777777" w:rsidR="00076856" w:rsidRPr="00A701FA" w:rsidRDefault="00DE4299" w:rsidP="00756C58">
            <w:pPr>
              <w:spacing w:line="360" w:lineRule="auto"/>
              <w:ind w:left="60" w:right="60"/>
              <w:jc w:val="right"/>
              <w:rPr>
                <w:rFonts w:ascii="Arial" w:eastAsia="Arial" w:hAnsi="Arial" w:cs="Arial"/>
                <w:sz w:val="20"/>
                <w:szCs w:val="20"/>
              </w:rPr>
            </w:pPr>
            <w:r w:rsidRPr="00A701FA">
              <w:rPr>
                <w:rFonts w:ascii="Arial" w:eastAsia="Arial" w:hAnsi="Arial" w:cs="Arial"/>
                <w:sz w:val="20"/>
                <w:szCs w:val="20"/>
              </w:rPr>
              <w:t>439</w:t>
            </w:r>
          </w:p>
        </w:tc>
        <w:tc>
          <w:tcPr>
            <w:tcW w:w="523" w:type="pct"/>
            <w:tcBorders>
              <w:top w:val="single" w:sz="12" w:space="0" w:color="000000"/>
              <w:left w:val="single" w:sz="12" w:space="0" w:color="000000"/>
              <w:bottom w:val="single" w:sz="4" w:space="0" w:color="000000"/>
              <w:right w:val="single" w:sz="12" w:space="0" w:color="000000"/>
            </w:tcBorders>
            <w:shd w:val="clear" w:color="auto" w:fill="F2F2F2"/>
            <w:tcMar>
              <w:top w:w="100" w:type="dxa"/>
              <w:left w:w="100" w:type="dxa"/>
              <w:bottom w:w="100" w:type="dxa"/>
              <w:right w:w="100" w:type="dxa"/>
            </w:tcMar>
          </w:tcPr>
          <w:p w14:paraId="554A4641" w14:textId="77777777" w:rsidR="00076856" w:rsidRPr="00A701FA" w:rsidRDefault="00DE4299" w:rsidP="00756C58">
            <w:pPr>
              <w:spacing w:line="360" w:lineRule="auto"/>
              <w:ind w:left="60" w:right="60"/>
              <w:jc w:val="right"/>
              <w:rPr>
                <w:rFonts w:ascii="Arial" w:eastAsia="Arial" w:hAnsi="Arial" w:cs="Arial"/>
                <w:sz w:val="20"/>
                <w:szCs w:val="20"/>
              </w:rPr>
            </w:pPr>
            <w:r w:rsidRPr="00A701FA">
              <w:rPr>
                <w:rFonts w:ascii="Arial" w:eastAsia="Arial" w:hAnsi="Arial" w:cs="Arial"/>
                <w:sz w:val="20"/>
                <w:szCs w:val="20"/>
              </w:rPr>
              <w:t>1070</w:t>
            </w:r>
          </w:p>
        </w:tc>
      </w:tr>
      <w:tr w:rsidR="00076856" w:rsidRPr="00A701FA" w14:paraId="423F8C86" w14:textId="77777777" w:rsidTr="00E67E71">
        <w:trPr>
          <w:trHeight w:val="795"/>
        </w:trPr>
        <w:tc>
          <w:tcPr>
            <w:tcW w:w="372" w:type="pct"/>
            <w:vMerge/>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vAlign w:val="center"/>
          </w:tcPr>
          <w:p w14:paraId="55D58CA1" w14:textId="77777777" w:rsidR="00076856" w:rsidRPr="00A701FA" w:rsidRDefault="00076856" w:rsidP="00756C58">
            <w:pPr>
              <w:widowControl w:val="0"/>
              <w:pBdr>
                <w:top w:val="nil"/>
                <w:left w:val="nil"/>
                <w:bottom w:val="nil"/>
                <w:right w:val="nil"/>
                <w:between w:val="nil"/>
              </w:pBdr>
              <w:spacing w:line="360" w:lineRule="auto"/>
              <w:rPr>
                <w:rFonts w:ascii="Arial" w:eastAsia="Arial" w:hAnsi="Arial" w:cs="Arial"/>
                <w:sz w:val="20"/>
                <w:szCs w:val="20"/>
              </w:rPr>
            </w:pPr>
          </w:p>
        </w:tc>
        <w:tc>
          <w:tcPr>
            <w:tcW w:w="443" w:type="pct"/>
            <w:vMerge/>
            <w:tcBorders>
              <w:top w:val="single" w:sz="12" w:space="0" w:color="000000"/>
              <w:left w:val="single" w:sz="12" w:space="0" w:color="000000"/>
              <w:bottom w:val="single" w:sz="4" w:space="0" w:color="000000"/>
              <w:right w:val="single" w:sz="12" w:space="0" w:color="000000"/>
            </w:tcBorders>
            <w:shd w:val="clear" w:color="auto" w:fill="auto"/>
            <w:tcMar>
              <w:top w:w="100" w:type="dxa"/>
              <w:left w:w="100" w:type="dxa"/>
              <w:bottom w:w="100" w:type="dxa"/>
              <w:right w:w="100" w:type="dxa"/>
            </w:tcMar>
            <w:vAlign w:val="center"/>
          </w:tcPr>
          <w:p w14:paraId="7C80D281" w14:textId="77777777" w:rsidR="00076856" w:rsidRPr="00A701FA" w:rsidRDefault="00076856" w:rsidP="00756C58">
            <w:pPr>
              <w:widowControl w:val="0"/>
              <w:pBdr>
                <w:top w:val="nil"/>
                <w:left w:val="nil"/>
                <w:bottom w:val="nil"/>
                <w:right w:val="nil"/>
                <w:between w:val="nil"/>
              </w:pBdr>
              <w:spacing w:line="360" w:lineRule="auto"/>
              <w:rPr>
                <w:rFonts w:ascii="Arial" w:eastAsia="Arial" w:hAnsi="Arial" w:cs="Arial"/>
                <w:sz w:val="20"/>
                <w:szCs w:val="20"/>
              </w:rPr>
            </w:pPr>
          </w:p>
        </w:tc>
        <w:tc>
          <w:tcPr>
            <w:tcW w:w="553" w:type="pct"/>
            <w:tcBorders>
              <w:top w:val="single" w:sz="4"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5188CC8" w14:textId="77777777" w:rsidR="00076856" w:rsidRPr="00A701FA" w:rsidRDefault="00DE4299" w:rsidP="00756C58">
            <w:pPr>
              <w:spacing w:line="360" w:lineRule="auto"/>
              <w:ind w:left="60" w:right="60"/>
              <w:rPr>
                <w:rFonts w:ascii="Arial" w:eastAsia="Arial" w:hAnsi="Arial" w:cs="Arial"/>
                <w:sz w:val="20"/>
                <w:szCs w:val="20"/>
              </w:rPr>
            </w:pPr>
            <w:r w:rsidRPr="00A701FA">
              <w:rPr>
                <w:rFonts w:ascii="Arial" w:eastAsia="Arial" w:hAnsi="Arial" w:cs="Arial"/>
                <w:sz w:val="20"/>
                <w:szCs w:val="20"/>
              </w:rPr>
              <w:t>% unutar fakulteta</w:t>
            </w:r>
          </w:p>
        </w:tc>
        <w:tc>
          <w:tcPr>
            <w:tcW w:w="498" w:type="pct"/>
            <w:tcBorders>
              <w:top w:val="single" w:sz="4" w:space="0" w:color="000000"/>
              <w:left w:val="single" w:sz="12" w:space="0" w:color="000000"/>
              <w:bottom w:val="single" w:sz="12" w:space="0" w:color="000000"/>
              <w:right w:val="single" w:sz="4" w:space="0" w:color="000000"/>
            </w:tcBorders>
            <w:shd w:val="clear" w:color="auto" w:fill="auto"/>
            <w:tcMar>
              <w:top w:w="100" w:type="dxa"/>
              <w:left w:w="100" w:type="dxa"/>
              <w:bottom w:w="100" w:type="dxa"/>
              <w:right w:w="100" w:type="dxa"/>
            </w:tcMar>
          </w:tcPr>
          <w:p w14:paraId="49DDC07A" w14:textId="77777777" w:rsidR="00076856" w:rsidRPr="00A701FA" w:rsidRDefault="00DE4299" w:rsidP="00756C58">
            <w:pPr>
              <w:spacing w:line="360" w:lineRule="auto"/>
              <w:ind w:left="60" w:right="60"/>
              <w:jc w:val="right"/>
              <w:rPr>
                <w:rFonts w:ascii="Arial" w:eastAsia="Arial" w:hAnsi="Arial" w:cs="Arial"/>
                <w:sz w:val="20"/>
                <w:szCs w:val="20"/>
              </w:rPr>
            </w:pPr>
            <w:r w:rsidRPr="00A701FA">
              <w:rPr>
                <w:rFonts w:ascii="Arial" w:eastAsia="Arial" w:hAnsi="Arial" w:cs="Arial"/>
                <w:sz w:val="20"/>
                <w:szCs w:val="20"/>
              </w:rPr>
              <w:t>62.5%</w:t>
            </w:r>
          </w:p>
        </w:tc>
        <w:tc>
          <w:tcPr>
            <w:tcW w:w="522" w:type="pct"/>
            <w:tcBorders>
              <w:top w:val="single" w:sz="4" w:space="0" w:color="000000"/>
              <w:left w:val="single" w:sz="4" w:space="0" w:color="000000"/>
              <w:bottom w:val="single" w:sz="12" w:space="0" w:color="000000"/>
              <w:right w:val="single" w:sz="4" w:space="0" w:color="000000"/>
            </w:tcBorders>
            <w:shd w:val="clear" w:color="auto" w:fill="auto"/>
            <w:tcMar>
              <w:top w:w="100" w:type="dxa"/>
              <w:left w:w="100" w:type="dxa"/>
              <w:bottom w:w="100" w:type="dxa"/>
              <w:right w:w="100" w:type="dxa"/>
            </w:tcMar>
          </w:tcPr>
          <w:p w14:paraId="5B2DF0D8" w14:textId="77777777" w:rsidR="00076856" w:rsidRPr="00A701FA" w:rsidRDefault="00DE4299" w:rsidP="00756C58">
            <w:pPr>
              <w:spacing w:line="360" w:lineRule="auto"/>
              <w:ind w:left="60" w:right="60"/>
              <w:jc w:val="right"/>
              <w:rPr>
                <w:rFonts w:ascii="Arial" w:eastAsia="Arial" w:hAnsi="Arial" w:cs="Arial"/>
                <w:sz w:val="20"/>
                <w:szCs w:val="20"/>
              </w:rPr>
            </w:pPr>
            <w:r w:rsidRPr="00A701FA">
              <w:rPr>
                <w:rFonts w:ascii="Arial" w:eastAsia="Arial" w:hAnsi="Arial" w:cs="Arial"/>
                <w:sz w:val="20"/>
                <w:szCs w:val="20"/>
              </w:rPr>
              <w:t>64.8%</w:t>
            </w:r>
          </w:p>
        </w:tc>
        <w:tc>
          <w:tcPr>
            <w:tcW w:w="523" w:type="pct"/>
            <w:tcBorders>
              <w:top w:val="single" w:sz="4" w:space="0" w:color="000000"/>
              <w:left w:val="single" w:sz="4" w:space="0" w:color="000000"/>
              <w:bottom w:val="single" w:sz="12" w:space="0" w:color="000000"/>
              <w:right w:val="single" w:sz="4" w:space="0" w:color="000000"/>
            </w:tcBorders>
            <w:shd w:val="clear" w:color="auto" w:fill="auto"/>
            <w:tcMar>
              <w:top w:w="100" w:type="dxa"/>
              <w:left w:w="100" w:type="dxa"/>
              <w:bottom w:w="100" w:type="dxa"/>
              <w:right w:w="100" w:type="dxa"/>
            </w:tcMar>
          </w:tcPr>
          <w:p w14:paraId="0C7D7739" w14:textId="77777777" w:rsidR="00076856" w:rsidRPr="00A701FA" w:rsidRDefault="00DE4299" w:rsidP="00756C58">
            <w:pPr>
              <w:spacing w:line="360" w:lineRule="auto"/>
              <w:ind w:left="60" w:right="60"/>
              <w:jc w:val="right"/>
              <w:rPr>
                <w:rFonts w:ascii="Arial" w:eastAsia="Arial" w:hAnsi="Arial" w:cs="Arial"/>
                <w:sz w:val="20"/>
                <w:szCs w:val="20"/>
              </w:rPr>
            </w:pPr>
            <w:r w:rsidRPr="00A701FA">
              <w:rPr>
                <w:rFonts w:ascii="Arial" w:eastAsia="Arial" w:hAnsi="Arial" w:cs="Arial"/>
                <w:sz w:val="20"/>
                <w:szCs w:val="20"/>
              </w:rPr>
              <w:t>81.4%</w:t>
            </w:r>
          </w:p>
        </w:tc>
        <w:tc>
          <w:tcPr>
            <w:tcW w:w="522" w:type="pct"/>
            <w:tcBorders>
              <w:top w:val="single" w:sz="4" w:space="0" w:color="000000"/>
              <w:left w:val="single" w:sz="4" w:space="0" w:color="000000"/>
              <w:bottom w:val="single" w:sz="12" w:space="0" w:color="000000"/>
              <w:right w:val="single" w:sz="4" w:space="0" w:color="000000"/>
            </w:tcBorders>
            <w:shd w:val="clear" w:color="auto" w:fill="auto"/>
            <w:tcMar>
              <w:top w:w="100" w:type="dxa"/>
              <w:left w:w="100" w:type="dxa"/>
              <w:bottom w:w="100" w:type="dxa"/>
              <w:right w:w="100" w:type="dxa"/>
            </w:tcMar>
          </w:tcPr>
          <w:p w14:paraId="445376A3" w14:textId="77777777" w:rsidR="00076856" w:rsidRPr="00A701FA" w:rsidRDefault="00DE4299" w:rsidP="00756C58">
            <w:pPr>
              <w:spacing w:line="360" w:lineRule="auto"/>
              <w:ind w:left="60" w:right="60"/>
              <w:jc w:val="right"/>
              <w:rPr>
                <w:rFonts w:ascii="Arial" w:eastAsia="Arial" w:hAnsi="Arial" w:cs="Arial"/>
                <w:sz w:val="20"/>
                <w:szCs w:val="20"/>
              </w:rPr>
            </w:pPr>
            <w:r w:rsidRPr="00A701FA">
              <w:rPr>
                <w:rFonts w:ascii="Arial" w:eastAsia="Arial" w:hAnsi="Arial" w:cs="Arial"/>
                <w:sz w:val="20"/>
                <w:szCs w:val="20"/>
              </w:rPr>
              <w:t>74.3%</w:t>
            </w:r>
          </w:p>
        </w:tc>
        <w:tc>
          <w:tcPr>
            <w:tcW w:w="522" w:type="pct"/>
            <w:tcBorders>
              <w:top w:val="single" w:sz="4" w:space="0" w:color="000000"/>
              <w:left w:val="single" w:sz="4" w:space="0" w:color="000000"/>
              <w:bottom w:val="single" w:sz="12" w:space="0" w:color="000000"/>
              <w:right w:val="single" w:sz="4" w:space="0" w:color="000000"/>
            </w:tcBorders>
            <w:shd w:val="clear" w:color="auto" w:fill="auto"/>
            <w:tcMar>
              <w:top w:w="100" w:type="dxa"/>
              <w:left w:w="100" w:type="dxa"/>
              <w:bottom w:w="100" w:type="dxa"/>
              <w:right w:w="100" w:type="dxa"/>
            </w:tcMar>
          </w:tcPr>
          <w:p w14:paraId="50FB1624" w14:textId="77777777" w:rsidR="00076856" w:rsidRPr="00A701FA" w:rsidRDefault="00DE4299" w:rsidP="00756C58">
            <w:pPr>
              <w:spacing w:line="360" w:lineRule="auto"/>
              <w:ind w:left="60" w:right="60"/>
              <w:jc w:val="right"/>
              <w:rPr>
                <w:rFonts w:ascii="Arial" w:eastAsia="Arial" w:hAnsi="Arial" w:cs="Arial"/>
                <w:sz w:val="20"/>
                <w:szCs w:val="20"/>
              </w:rPr>
            </w:pPr>
            <w:r w:rsidRPr="00A701FA">
              <w:rPr>
                <w:rFonts w:ascii="Arial" w:eastAsia="Arial" w:hAnsi="Arial" w:cs="Arial"/>
                <w:sz w:val="20"/>
                <w:szCs w:val="20"/>
              </w:rPr>
              <w:t>67.6%</w:t>
            </w:r>
          </w:p>
        </w:tc>
        <w:tc>
          <w:tcPr>
            <w:tcW w:w="522" w:type="pct"/>
            <w:tcBorders>
              <w:top w:val="single" w:sz="4" w:space="0" w:color="000000"/>
              <w:left w:val="single" w:sz="4" w:space="0" w:color="000000"/>
              <w:bottom w:val="single" w:sz="12" w:space="0" w:color="000000"/>
              <w:right w:val="single" w:sz="12" w:space="0" w:color="000000"/>
            </w:tcBorders>
            <w:shd w:val="clear" w:color="auto" w:fill="auto"/>
            <w:tcMar>
              <w:top w:w="100" w:type="dxa"/>
              <w:left w:w="100" w:type="dxa"/>
              <w:bottom w:w="100" w:type="dxa"/>
              <w:right w:w="100" w:type="dxa"/>
            </w:tcMar>
          </w:tcPr>
          <w:p w14:paraId="4B8D557E" w14:textId="77777777" w:rsidR="00076856" w:rsidRPr="00A701FA" w:rsidRDefault="00DE4299" w:rsidP="00756C58">
            <w:pPr>
              <w:spacing w:line="360" w:lineRule="auto"/>
              <w:ind w:left="60" w:right="60"/>
              <w:jc w:val="right"/>
              <w:rPr>
                <w:rFonts w:ascii="Arial" w:eastAsia="Arial" w:hAnsi="Arial" w:cs="Arial"/>
                <w:sz w:val="20"/>
                <w:szCs w:val="20"/>
              </w:rPr>
            </w:pPr>
            <w:r w:rsidRPr="00A701FA">
              <w:rPr>
                <w:rFonts w:ascii="Arial" w:eastAsia="Arial" w:hAnsi="Arial" w:cs="Arial"/>
                <w:sz w:val="20"/>
                <w:szCs w:val="20"/>
              </w:rPr>
              <w:t>82.4%</w:t>
            </w:r>
          </w:p>
        </w:tc>
        <w:tc>
          <w:tcPr>
            <w:tcW w:w="523" w:type="pct"/>
            <w:tcBorders>
              <w:top w:val="single" w:sz="4" w:space="0" w:color="000000"/>
              <w:left w:val="single" w:sz="12" w:space="0" w:color="000000"/>
              <w:bottom w:val="single" w:sz="12" w:space="0" w:color="000000"/>
              <w:right w:val="single" w:sz="12" w:space="0" w:color="000000"/>
            </w:tcBorders>
            <w:shd w:val="clear" w:color="auto" w:fill="F2F2F2"/>
            <w:tcMar>
              <w:top w:w="100" w:type="dxa"/>
              <w:left w:w="100" w:type="dxa"/>
              <w:bottom w:w="100" w:type="dxa"/>
              <w:right w:w="100" w:type="dxa"/>
            </w:tcMar>
          </w:tcPr>
          <w:p w14:paraId="0815AAA1" w14:textId="77777777" w:rsidR="00076856" w:rsidRPr="00A701FA" w:rsidRDefault="00DE4299" w:rsidP="00756C58">
            <w:pPr>
              <w:spacing w:line="360" w:lineRule="auto"/>
              <w:ind w:left="60" w:right="60"/>
              <w:jc w:val="right"/>
              <w:rPr>
                <w:rFonts w:ascii="Arial" w:eastAsia="Arial" w:hAnsi="Arial" w:cs="Arial"/>
                <w:sz w:val="20"/>
                <w:szCs w:val="20"/>
              </w:rPr>
            </w:pPr>
            <w:r w:rsidRPr="00A701FA">
              <w:rPr>
                <w:rFonts w:ascii="Arial" w:eastAsia="Arial" w:hAnsi="Arial" w:cs="Arial"/>
                <w:sz w:val="20"/>
                <w:szCs w:val="20"/>
              </w:rPr>
              <w:t>75.2%</w:t>
            </w:r>
          </w:p>
        </w:tc>
      </w:tr>
      <w:tr w:rsidR="00076856" w:rsidRPr="00A701FA" w14:paraId="546E4BB1" w14:textId="77777777" w:rsidTr="00E67E71">
        <w:trPr>
          <w:trHeight w:val="530"/>
        </w:trPr>
        <w:tc>
          <w:tcPr>
            <w:tcW w:w="372" w:type="pct"/>
            <w:vMerge/>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vAlign w:val="center"/>
          </w:tcPr>
          <w:p w14:paraId="1AFEC6B3" w14:textId="77777777" w:rsidR="00076856" w:rsidRPr="00A701FA" w:rsidRDefault="00076856" w:rsidP="00756C58">
            <w:pPr>
              <w:widowControl w:val="0"/>
              <w:pBdr>
                <w:top w:val="nil"/>
                <w:left w:val="nil"/>
                <w:bottom w:val="nil"/>
                <w:right w:val="nil"/>
                <w:between w:val="nil"/>
              </w:pBdr>
              <w:spacing w:line="360" w:lineRule="auto"/>
              <w:rPr>
                <w:rFonts w:ascii="Arial" w:eastAsia="Arial" w:hAnsi="Arial" w:cs="Arial"/>
                <w:sz w:val="20"/>
                <w:szCs w:val="20"/>
              </w:rPr>
            </w:pPr>
          </w:p>
        </w:tc>
        <w:tc>
          <w:tcPr>
            <w:tcW w:w="443" w:type="pct"/>
            <w:vMerge w:val="restart"/>
            <w:tcBorders>
              <w:top w:val="single" w:sz="12" w:space="0" w:color="000000"/>
              <w:left w:val="single" w:sz="12" w:space="0" w:color="000000"/>
              <w:bottom w:val="single" w:sz="4" w:space="0" w:color="000000"/>
              <w:right w:val="single" w:sz="12" w:space="0" w:color="000000"/>
            </w:tcBorders>
            <w:shd w:val="clear" w:color="auto" w:fill="auto"/>
            <w:tcMar>
              <w:top w:w="100" w:type="dxa"/>
              <w:left w:w="100" w:type="dxa"/>
              <w:bottom w:w="100" w:type="dxa"/>
              <w:right w:w="100" w:type="dxa"/>
            </w:tcMar>
            <w:vAlign w:val="center"/>
          </w:tcPr>
          <w:p w14:paraId="3B198896" w14:textId="77777777" w:rsidR="00076856" w:rsidRPr="00A701FA" w:rsidRDefault="00DE4299" w:rsidP="00756C58">
            <w:pPr>
              <w:spacing w:line="360" w:lineRule="auto"/>
              <w:ind w:left="60" w:right="60"/>
              <w:jc w:val="center"/>
              <w:rPr>
                <w:rFonts w:ascii="Arial" w:eastAsia="Arial" w:hAnsi="Arial" w:cs="Arial"/>
                <w:sz w:val="20"/>
                <w:szCs w:val="20"/>
              </w:rPr>
            </w:pPr>
            <w:r w:rsidRPr="00A701FA">
              <w:rPr>
                <w:rFonts w:ascii="Arial" w:eastAsia="Arial" w:hAnsi="Arial" w:cs="Arial"/>
                <w:sz w:val="20"/>
                <w:szCs w:val="20"/>
              </w:rPr>
              <w:t>muški</w:t>
            </w:r>
          </w:p>
        </w:tc>
        <w:tc>
          <w:tcPr>
            <w:tcW w:w="553" w:type="pct"/>
            <w:tcBorders>
              <w:top w:val="single" w:sz="12" w:space="0" w:color="000000"/>
              <w:left w:val="single" w:sz="12" w:space="0" w:color="000000"/>
              <w:bottom w:val="single" w:sz="4" w:space="0" w:color="000000"/>
              <w:right w:val="single" w:sz="12" w:space="0" w:color="000000"/>
            </w:tcBorders>
            <w:shd w:val="clear" w:color="auto" w:fill="auto"/>
            <w:tcMar>
              <w:top w:w="100" w:type="dxa"/>
              <w:left w:w="100" w:type="dxa"/>
              <w:bottom w:w="100" w:type="dxa"/>
              <w:right w:w="100" w:type="dxa"/>
            </w:tcMar>
          </w:tcPr>
          <w:p w14:paraId="5D99A7E0" w14:textId="77777777" w:rsidR="00076856" w:rsidRPr="00A701FA" w:rsidRDefault="00DE4299" w:rsidP="00756C58">
            <w:pPr>
              <w:spacing w:line="360" w:lineRule="auto"/>
              <w:ind w:left="60" w:right="60"/>
              <w:rPr>
                <w:rFonts w:ascii="Arial" w:eastAsia="Arial" w:hAnsi="Arial" w:cs="Arial"/>
                <w:sz w:val="20"/>
                <w:szCs w:val="20"/>
              </w:rPr>
            </w:pPr>
            <w:r w:rsidRPr="00A701FA">
              <w:rPr>
                <w:rFonts w:ascii="Arial" w:eastAsia="Arial" w:hAnsi="Arial" w:cs="Arial"/>
                <w:sz w:val="20"/>
                <w:szCs w:val="20"/>
              </w:rPr>
              <w:t>Broj (N)</w:t>
            </w:r>
          </w:p>
        </w:tc>
        <w:tc>
          <w:tcPr>
            <w:tcW w:w="498" w:type="pct"/>
            <w:tcBorders>
              <w:top w:val="single" w:sz="12" w:space="0" w:color="000000"/>
              <w:left w:val="single" w:sz="12" w:space="0" w:color="000000"/>
              <w:bottom w:val="single" w:sz="4" w:space="0" w:color="000000"/>
              <w:right w:val="single" w:sz="4" w:space="0" w:color="000000"/>
            </w:tcBorders>
            <w:shd w:val="clear" w:color="auto" w:fill="auto"/>
            <w:tcMar>
              <w:top w:w="100" w:type="dxa"/>
              <w:left w:w="100" w:type="dxa"/>
              <w:bottom w:w="100" w:type="dxa"/>
              <w:right w:w="100" w:type="dxa"/>
            </w:tcMar>
          </w:tcPr>
          <w:p w14:paraId="6ACA1DDB" w14:textId="77777777" w:rsidR="00076856" w:rsidRPr="00A701FA" w:rsidRDefault="00DE4299" w:rsidP="00756C58">
            <w:pPr>
              <w:spacing w:line="360" w:lineRule="auto"/>
              <w:ind w:left="60" w:right="60"/>
              <w:jc w:val="right"/>
              <w:rPr>
                <w:rFonts w:ascii="Arial" w:eastAsia="Arial" w:hAnsi="Arial" w:cs="Arial"/>
                <w:sz w:val="20"/>
                <w:szCs w:val="20"/>
              </w:rPr>
            </w:pPr>
            <w:r w:rsidRPr="00A701FA">
              <w:rPr>
                <w:rFonts w:ascii="Arial" w:eastAsia="Arial" w:hAnsi="Arial" w:cs="Arial"/>
                <w:sz w:val="20"/>
                <w:szCs w:val="20"/>
              </w:rPr>
              <w:t>119</w:t>
            </w:r>
          </w:p>
        </w:tc>
        <w:tc>
          <w:tcPr>
            <w:tcW w:w="522" w:type="pct"/>
            <w:tcBorders>
              <w:top w:val="single" w:sz="12"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6E84076" w14:textId="77777777" w:rsidR="00076856" w:rsidRPr="00A701FA" w:rsidRDefault="00DE4299" w:rsidP="00756C58">
            <w:pPr>
              <w:spacing w:line="360" w:lineRule="auto"/>
              <w:ind w:left="60" w:right="60"/>
              <w:jc w:val="right"/>
              <w:rPr>
                <w:rFonts w:ascii="Arial" w:eastAsia="Arial" w:hAnsi="Arial" w:cs="Arial"/>
                <w:sz w:val="20"/>
                <w:szCs w:val="20"/>
              </w:rPr>
            </w:pPr>
            <w:r w:rsidRPr="00A701FA">
              <w:rPr>
                <w:rFonts w:ascii="Arial" w:eastAsia="Arial" w:hAnsi="Arial" w:cs="Arial"/>
                <w:sz w:val="20"/>
                <w:szCs w:val="20"/>
              </w:rPr>
              <w:t>44</w:t>
            </w:r>
          </w:p>
        </w:tc>
        <w:tc>
          <w:tcPr>
            <w:tcW w:w="523" w:type="pct"/>
            <w:tcBorders>
              <w:top w:val="single" w:sz="12"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FDC9E7" w14:textId="77777777" w:rsidR="00076856" w:rsidRPr="00A701FA" w:rsidRDefault="00DE4299" w:rsidP="00756C58">
            <w:pPr>
              <w:spacing w:line="360" w:lineRule="auto"/>
              <w:ind w:left="60" w:right="60"/>
              <w:jc w:val="right"/>
              <w:rPr>
                <w:rFonts w:ascii="Arial" w:eastAsia="Arial" w:hAnsi="Arial" w:cs="Arial"/>
                <w:sz w:val="20"/>
                <w:szCs w:val="20"/>
              </w:rPr>
            </w:pPr>
            <w:r w:rsidRPr="00A701FA">
              <w:rPr>
                <w:rFonts w:ascii="Arial" w:eastAsia="Arial" w:hAnsi="Arial" w:cs="Arial"/>
                <w:sz w:val="20"/>
                <w:szCs w:val="20"/>
              </w:rPr>
              <w:t>63</w:t>
            </w:r>
          </w:p>
        </w:tc>
        <w:tc>
          <w:tcPr>
            <w:tcW w:w="522" w:type="pct"/>
            <w:tcBorders>
              <w:top w:val="single" w:sz="12"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137975C" w14:textId="77777777" w:rsidR="00076856" w:rsidRPr="00A701FA" w:rsidRDefault="00DE4299" w:rsidP="00756C58">
            <w:pPr>
              <w:spacing w:line="360" w:lineRule="auto"/>
              <w:ind w:left="60" w:right="60"/>
              <w:jc w:val="right"/>
              <w:rPr>
                <w:rFonts w:ascii="Arial" w:eastAsia="Arial" w:hAnsi="Arial" w:cs="Arial"/>
                <w:sz w:val="20"/>
                <w:szCs w:val="20"/>
              </w:rPr>
            </w:pPr>
            <w:r w:rsidRPr="00A701FA">
              <w:rPr>
                <w:rFonts w:ascii="Arial" w:eastAsia="Arial" w:hAnsi="Arial" w:cs="Arial"/>
                <w:sz w:val="20"/>
                <w:szCs w:val="20"/>
              </w:rPr>
              <w:t>9</w:t>
            </w:r>
          </w:p>
        </w:tc>
        <w:tc>
          <w:tcPr>
            <w:tcW w:w="522" w:type="pct"/>
            <w:tcBorders>
              <w:top w:val="single" w:sz="12"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CB66263" w14:textId="77777777" w:rsidR="00076856" w:rsidRPr="00A701FA" w:rsidRDefault="00DE4299" w:rsidP="00756C58">
            <w:pPr>
              <w:spacing w:line="360" w:lineRule="auto"/>
              <w:ind w:left="60" w:right="60"/>
              <w:jc w:val="right"/>
              <w:rPr>
                <w:rFonts w:ascii="Arial" w:eastAsia="Arial" w:hAnsi="Arial" w:cs="Arial"/>
                <w:sz w:val="20"/>
                <w:szCs w:val="20"/>
              </w:rPr>
            </w:pPr>
            <w:r w:rsidRPr="00A701FA">
              <w:rPr>
                <w:rFonts w:ascii="Arial" w:eastAsia="Arial" w:hAnsi="Arial" w:cs="Arial"/>
                <w:sz w:val="20"/>
                <w:szCs w:val="20"/>
              </w:rPr>
              <w:t>24</w:t>
            </w:r>
          </w:p>
        </w:tc>
        <w:tc>
          <w:tcPr>
            <w:tcW w:w="522" w:type="pct"/>
            <w:tcBorders>
              <w:top w:val="single" w:sz="12" w:space="0" w:color="000000"/>
              <w:left w:val="single" w:sz="4" w:space="0" w:color="000000"/>
              <w:bottom w:val="single" w:sz="4" w:space="0" w:color="000000"/>
              <w:right w:val="single" w:sz="12" w:space="0" w:color="000000"/>
            </w:tcBorders>
            <w:shd w:val="clear" w:color="auto" w:fill="auto"/>
            <w:tcMar>
              <w:top w:w="100" w:type="dxa"/>
              <w:left w:w="100" w:type="dxa"/>
              <w:bottom w:w="100" w:type="dxa"/>
              <w:right w:w="100" w:type="dxa"/>
            </w:tcMar>
          </w:tcPr>
          <w:p w14:paraId="0BE95220" w14:textId="77777777" w:rsidR="00076856" w:rsidRPr="00A701FA" w:rsidRDefault="00DE4299" w:rsidP="00756C58">
            <w:pPr>
              <w:spacing w:line="360" w:lineRule="auto"/>
              <w:ind w:left="60" w:right="60"/>
              <w:jc w:val="right"/>
              <w:rPr>
                <w:rFonts w:ascii="Arial" w:eastAsia="Arial" w:hAnsi="Arial" w:cs="Arial"/>
                <w:sz w:val="20"/>
                <w:szCs w:val="20"/>
              </w:rPr>
            </w:pPr>
            <w:r w:rsidRPr="00A701FA">
              <w:rPr>
                <w:rFonts w:ascii="Arial" w:eastAsia="Arial" w:hAnsi="Arial" w:cs="Arial"/>
                <w:sz w:val="20"/>
                <w:szCs w:val="20"/>
              </w:rPr>
              <w:t>94</w:t>
            </w:r>
          </w:p>
        </w:tc>
        <w:tc>
          <w:tcPr>
            <w:tcW w:w="523" w:type="pct"/>
            <w:tcBorders>
              <w:top w:val="single" w:sz="12" w:space="0" w:color="000000"/>
              <w:left w:val="single" w:sz="12" w:space="0" w:color="000000"/>
              <w:bottom w:val="single" w:sz="4" w:space="0" w:color="000000"/>
              <w:right w:val="single" w:sz="12" w:space="0" w:color="000000"/>
            </w:tcBorders>
            <w:shd w:val="clear" w:color="auto" w:fill="F2F2F2"/>
            <w:tcMar>
              <w:top w:w="100" w:type="dxa"/>
              <w:left w:w="100" w:type="dxa"/>
              <w:bottom w:w="100" w:type="dxa"/>
              <w:right w:w="100" w:type="dxa"/>
            </w:tcMar>
          </w:tcPr>
          <w:p w14:paraId="1100529F" w14:textId="77777777" w:rsidR="00076856" w:rsidRPr="00A701FA" w:rsidRDefault="00DE4299" w:rsidP="00756C58">
            <w:pPr>
              <w:spacing w:line="360" w:lineRule="auto"/>
              <w:ind w:left="60" w:right="60"/>
              <w:jc w:val="right"/>
              <w:rPr>
                <w:rFonts w:ascii="Arial" w:eastAsia="Arial" w:hAnsi="Arial" w:cs="Arial"/>
                <w:sz w:val="20"/>
                <w:szCs w:val="20"/>
              </w:rPr>
            </w:pPr>
            <w:r w:rsidRPr="00A701FA">
              <w:rPr>
                <w:rFonts w:ascii="Arial" w:eastAsia="Arial" w:hAnsi="Arial" w:cs="Arial"/>
                <w:sz w:val="20"/>
                <w:szCs w:val="20"/>
              </w:rPr>
              <w:t>353</w:t>
            </w:r>
          </w:p>
        </w:tc>
      </w:tr>
      <w:tr w:rsidR="00076856" w:rsidRPr="00A701FA" w14:paraId="06DDA08A" w14:textId="77777777" w:rsidTr="00E67E71">
        <w:trPr>
          <w:trHeight w:val="720"/>
        </w:trPr>
        <w:tc>
          <w:tcPr>
            <w:tcW w:w="372" w:type="pct"/>
            <w:vMerge/>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vAlign w:val="center"/>
          </w:tcPr>
          <w:p w14:paraId="265AAC67" w14:textId="77777777" w:rsidR="00076856" w:rsidRPr="00A701FA" w:rsidRDefault="00076856" w:rsidP="00756C58">
            <w:pPr>
              <w:widowControl w:val="0"/>
              <w:pBdr>
                <w:top w:val="nil"/>
                <w:left w:val="nil"/>
                <w:bottom w:val="nil"/>
                <w:right w:val="nil"/>
                <w:between w:val="nil"/>
              </w:pBdr>
              <w:spacing w:line="360" w:lineRule="auto"/>
              <w:rPr>
                <w:rFonts w:ascii="Arial" w:eastAsia="Arial" w:hAnsi="Arial" w:cs="Arial"/>
                <w:sz w:val="20"/>
                <w:szCs w:val="20"/>
              </w:rPr>
            </w:pPr>
          </w:p>
        </w:tc>
        <w:tc>
          <w:tcPr>
            <w:tcW w:w="443" w:type="pct"/>
            <w:vMerge/>
            <w:tcBorders>
              <w:top w:val="single" w:sz="12" w:space="0" w:color="000000"/>
              <w:left w:val="single" w:sz="12" w:space="0" w:color="000000"/>
              <w:bottom w:val="single" w:sz="4" w:space="0" w:color="000000"/>
              <w:right w:val="single" w:sz="12" w:space="0" w:color="000000"/>
            </w:tcBorders>
            <w:shd w:val="clear" w:color="auto" w:fill="auto"/>
            <w:tcMar>
              <w:top w:w="100" w:type="dxa"/>
              <w:left w:w="100" w:type="dxa"/>
              <w:bottom w:w="100" w:type="dxa"/>
              <w:right w:w="100" w:type="dxa"/>
            </w:tcMar>
            <w:vAlign w:val="center"/>
          </w:tcPr>
          <w:p w14:paraId="7F94C2DB" w14:textId="77777777" w:rsidR="00076856" w:rsidRPr="00A701FA" w:rsidRDefault="00076856" w:rsidP="00756C58">
            <w:pPr>
              <w:widowControl w:val="0"/>
              <w:pBdr>
                <w:top w:val="nil"/>
                <w:left w:val="nil"/>
                <w:bottom w:val="nil"/>
                <w:right w:val="nil"/>
                <w:between w:val="nil"/>
              </w:pBdr>
              <w:spacing w:line="360" w:lineRule="auto"/>
              <w:rPr>
                <w:rFonts w:ascii="Arial" w:eastAsia="Arial" w:hAnsi="Arial" w:cs="Arial"/>
                <w:sz w:val="20"/>
                <w:szCs w:val="20"/>
              </w:rPr>
            </w:pPr>
          </w:p>
        </w:tc>
        <w:tc>
          <w:tcPr>
            <w:tcW w:w="553" w:type="pct"/>
            <w:tcBorders>
              <w:top w:val="single" w:sz="4"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9044ACA" w14:textId="77777777" w:rsidR="00076856" w:rsidRPr="00A701FA" w:rsidRDefault="00DE4299" w:rsidP="00756C58">
            <w:pPr>
              <w:spacing w:line="360" w:lineRule="auto"/>
              <w:ind w:left="60" w:right="60"/>
              <w:rPr>
                <w:rFonts w:ascii="Arial" w:eastAsia="Arial" w:hAnsi="Arial" w:cs="Arial"/>
                <w:sz w:val="20"/>
                <w:szCs w:val="20"/>
              </w:rPr>
            </w:pPr>
            <w:r w:rsidRPr="00A701FA">
              <w:rPr>
                <w:rFonts w:ascii="Arial" w:eastAsia="Arial" w:hAnsi="Arial" w:cs="Arial"/>
                <w:sz w:val="20"/>
                <w:szCs w:val="20"/>
              </w:rPr>
              <w:t>% unutar fakulteta</w:t>
            </w:r>
          </w:p>
        </w:tc>
        <w:tc>
          <w:tcPr>
            <w:tcW w:w="498" w:type="pct"/>
            <w:tcBorders>
              <w:top w:val="single" w:sz="4" w:space="0" w:color="000000"/>
              <w:left w:val="single" w:sz="12" w:space="0" w:color="000000"/>
              <w:bottom w:val="single" w:sz="12" w:space="0" w:color="000000"/>
              <w:right w:val="single" w:sz="4" w:space="0" w:color="000000"/>
            </w:tcBorders>
            <w:shd w:val="clear" w:color="auto" w:fill="auto"/>
            <w:tcMar>
              <w:top w:w="100" w:type="dxa"/>
              <w:left w:w="100" w:type="dxa"/>
              <w:bottom w:w="100" w:type="dxa"/>
              <w:right w:w="100" w:type="dxa"/>
            </w:tcMar>
          </w:tcPr>
          <w:p w14:paraId="04B5EB59" w14:textId="77777777" w:rsidR="00076856" w:rsidRPr="00A701FA" w:rsidRDefault="00DE4299" w:rsidP="00756C58">
            <w:pPr>
              <w:spacing w:line="360" w:lineRule="auto"/>
              <w:ind w:left="60" w:right="60"/>
              <w:jc w:val="right"/>
              <w:rPr>
                <w:rFonts w:ascii="Arial" w:eastAsia="Arial" w:hAnsi="Arial" w:cs="Arial"/>
                <w:sz w:val="20"/>
                <w:szCs w:val="20"/>
              </w:rPr>
            </w:pPr>
            <w:r w:rsidRPr="00A701FA">
              <w:rPr>
                <w:rFonts w:ascii="Arial" w:eastAsia="Arial" w:hAnsi="Arial" w:cs="Arial"/>
                <w:sz w:val="20"/>
                <w:szCs w:val="20"/>
              </w:rPr>
              <w:t>37.5%</w:t>
            </w:r>
          </w:p>
        </w:tc>
        <w:tc>
          <w:tcPr>
            <w:tcW w:w="522" w:type="pct"/>
            <w:tcBorders>
              <w:top w:val="single" w:sz="4" w:space="0" w:color="000000"/>
              <w:left w:val="single" w:sz="4" w:space="0" w:color="000000"/>
              <w:bottom w:val="single" w:sz="12" w:space="0" w:color="000000"/>
              <w:right w:val="single" w:sz="4" w:space="0" w:color="000000"/>
            </w:tcBorders>
            <w:shd w:val="clear" w:color="auto" w:fill="auto"/>
            <w:tcMar>
              <w:top w:w="100" w:type="dxa"/>
              <w:left w:w="100" w:type="dxa"/>
              <w:bottom w:w="100" w:type="dxa"/>
              <w:right w:w="100" w:type="dxa"/>
            </w:tcMar>
          </w:tcPr>
          <w:p w14:paraId="52125F24" w14:textId="77777777" w:rsidR="00076856" w:rsidRPr="00A701FA" w:rsidRDefault="00DE4299" w:rsidP="00756C58">
            <w:pPr>
              <w:spacing w:line="360" w:lineRule="auto"/>
              <w:ind w:left="60" w:right="60"/>
              <w:jc w:val="right"/>
              <w:rPr>
                <w:rFonts w:ascii="Arial" w:eastAsia="Arial" w:hAnsi="Arial" w:cs="Arial"/>
                <w:sz w:val="20"/>
                <w:szCs w:val="20"/>
              </w:rPr>
            </w:pPr>
            <w:r w:rsidRPr="00A701FA">
              <w:rPr>
                <w:rFonts w:ascii="Arial" w:eastAsia="Arial" w:hAnsi="Arial" w:cs="Arial"/>
                <w:sz w:val="20"/>
                <w:szCs w:val="20"/>
              </w:rPr>
              <w:t>35.2%</w:t>
            </w:r>
          </w:p>
        </w:tc>
        <w:tc>
          <w:tcPr>
            <w:tcW w:w="523" w:type="pct"/>
            <w:tcBorders>
              <w:top w:val="single" w:sz="4" w:space="0" w:color="000000"/>
              <w:left w:val="single" w:sz="4" w:space="0" w:color="000000"/>
              <w:bottom w:val="single" w:sz="12" w:space="0" w:color="000000"/>
              <w:right w:val="single" w:sz="4" w:space="0" w:color="000000"/>
            </w:tcBorders>
            <w:shd w:val="clear" w:color="auto" w:fill="auto"/>
            <w:tcMar>
              <w:top w:w="100" w:type="dxa"/>
              <w:left w:w="100" w:type="dxa"/>
              <w:bottom w:w="100" w:type="dxa"/>
              <w:right w:w="100" w:type="dxa"/>
            </w:tcMar>
          </w:tcPr>
          <w:p w14:paraId="25D8CF8E" w14:textId="77777777" w:rsidR="00076856" w:rsidRPr="00A701FA" w:rsidRDefault="00DE4299" w:rsidP="00756C58">
            <w:pPr>
              <w:spacing w:line="360" w:lineRule="auto"/>
              <w:ind w:left="60" w:right="60"/>
              <w:jc w:val="right"/>
              <w:rPr>
                <w:rFonts w:ascii="Arial" w:eastAsia="Arial" w:hAnsi="Arial" w:cs="Arial"/>
                <w:sz w:val="20"/>
                <w:szCs w:val="20"/>
              </w:rPr>
            </w:pPr>
            <w:r w:rsidRPr="00A701FA">
              <w:rPr>
                <w:rFonts w:ascii="Arial" w:eastAsia="Arial" w:hAnsi="Arial" w:cs="Arial"/>
                <w:sz w:val="20"/>
                <w:szCs w:val="20"/>
              </w:rPr>
              <w:t>18.6%</w:t>
            </w:r>
          </w:p>
        </w:tc>
        <w:tc>
          <w:tcPr>
            <w:tcW w:w="522" w:type="pct"/>
            <w:tcBorders>
              <w:top w:val="single" w:sz="4" w:space="0" w:color="000000"/>
              <w:left w:val="single" w:sz="4" w:space="0" w:color="000000"/>
              <w:bottom w:val="single" w:sz="12" w:space="0" w:color="000000"/>
              <w:right w:val="single" w:sz="4" w:space="0" w:color="000000"/>
            </w:tcBorders>
            <w:shd w:val="clear" w:color="auto" w:fill="auto"/>
            <w:tcMar>
              <w:top w:w="100" w:type="dxa"/>
              <w:left w:w="100" w:type="dxa"/>
              <w:bottom w:w="100" w:type="dxa"/>
              <w:right w:w="100" w:type="dxa"/>
            </w:tcMar>
          </w:tcPr>
          <w:p w14:paraId="099F4E82" w14:textId="77777777" w:rsidR="00076856" w:rsidRPr="00A701FA" w:rsidRDefault="00DE4299" w:rsidP="00756C58">
            <w:pPr>
              <w:spacing w:line="360" w:lineRule="auto"/>
              <w:ind w:left="60" w:right="60"/>
              <w:jc w:val="right"/>
              <w:rPr>
                <w:rFonts w:ascii="Arial" w:eastAsia="Arial" w:hAnsi="Arial" w:cs="Arial"/>
                <w:sz w:val="20"/>
                <w:szCs w:val="20"/>
              </w:rPr>
            </w:pPr>
            <w:r w:rsidRPr="00A701FA">
              <w:rPr>
                <w:rFonts w:ascii="Arial" w:eastAsia="Arial" w:hAnsi="Arial" w:cs="Arial"/>
                <w:sz w:val="20"/>
                <w:szCs w:val="20"/>
              </w:rPr>
              <w:t>25.7%</w:t>
            </w:r>
          </w:p>
        </w:tc>
        <w:tc>
          <w:tcPr>
            <w:tcW w:w="522" w:type="pct"/>
            <w:tcBorders>
              <w:top w:val="single" w:sz="4" w:space="0" w:color="000000"/>
              <w:left w:val="single" w:sz="4" w:space="0" w:color="000000"/>
              <w:bottom w:val="single" w:sz="12" w:space="0" w:color="000000"/>
              <w:right w:val="single" w:sz="4" w:space="0" w:color="000000"/>
            </w:tcBorders>
            <w:shd w:val="clear" w:color="auto" w:fill="auto"/>
            <w:tcMar>
              <w:top w:w="100" w:type="dxa"/>
              <w:left w:w="100" w:type="dxa"/>
              <w:bottom w:w="100" w:type="dxa"/>
              <w:right w:w="100" w:type="dxa"/>
            </w:tcMar>
          </w:tcPr>
          <w:p w14:paraId="3F93957D" w14:textId="77777777" w:rsidR="00076856" w:rsidRPr="00A701FA" w:rsidRDefault="00DE4299" w:rsidP="00756C58">
            <w:pPr>
              <w:spacing w:line="360" w:lineRule="auto"/>
              <w:ind w:left="60" w:right="60"/>
              <w:jc w:val="right"/>
              <w:rPr>
                <w:rFonts w:ascii="Arial" w:eastAsia="Arial" w:hAnsi="Arial" w:cs="Arial"/>
                <w:sz w:val="20"/>
                <w:szCs w:val="20"/>
              </w:rPr>
            </w:pPr>
            <w:r w:rsidRPr="00A701FA">
              <w:rPr>
                <w:rFonts w:ascii="Arial" w:eastAsia="Arial" w:hAnsi="Arial" w:cs="Arial"/>
                <w:sz w:val="20"/>
                <w:szCs w:val="20"/>
              </w:rPr>
              <w:t>32.4%</w:t>
            </w:r>
          </w:p>
        </w:tc>
        <w:tc>
          <w:tcPr>
            <w:tcW w:w="522" w:type="pct"/>
            <w:tcBorders>
              <w:top w:val="single" w:sz="4" w:space="0" w:color="000000"/>
              <w:left w:val="single" w:sz="4" w:space="0" w:color="000000"/>
              <w:bottom w:val="single" w:sz="12" w:space="0" w:color="000000"/>
              <w:right w:val="single" w:sz="12" w:space="0" w:color="000000"/>
            </w:tcBorders>
            <w:shd w:val="clear" w:color="auto" w:fill="auto"/>
            <w:tcMar>
              <w:top w:w="100" w:type="dxa"/>
              <w:left w:w="100" w:type="dxa"/>
              <w:bottom w:w="100" w:type="dxa"/>
              <w:right w:w="100" w:type="dxa"/>
            </w:tcMar>
          </w:tcPr>
          <w:p w14:paraId="1BDAA219" w14:textId="77777777" w:rsidR="00076856" w:rsidRPr="00A701FA" w:rsidRDefault="00DE4299" w:rsidP="00756C58">
            <w:pPr>
              <w:spacing w:line="360" w:lineRule="auto"/>
              <w:ind w:left="60" w:right="60"/>
              <w:jc w:val="right"/>
              <w:rPr>
                <w:rFonts w:ascii="Arial" w:eastAsia="Arial" w:hAnsi="Arial" w:cs="Arial"/>
                <w:sz w:val="20"/>
                <w:szCs w:val="20"/>
              </w:rPr>
            </w:pPr>
            <w:r w:rsidRPr="00A701FA">
              <w:rPr>
                <w:rFonts w:ascii="Arial" w:eastAsia="Arial" w:hAnsi="Arial" w:cs="Arial"/>
                <w:sz w:val="20"/>
                <w:szCs w:val="20"/>
              </w:rPr>
              <w:t>17.6%</w:t>
            </w:r>
          </w:p>
        </w:tc>
        <w:tc>
          <w:tcPr>
            <w:tcW w:w="523" w:type="pct"/>
            <w:tcBorders>
              <w:top w:val="single" w:sz="4" w:space="0" w:color="000000"/>
              <w:left w:val="single" w:sz="12" w:space="0" w:color="000000"/>
              <w:bottom w:val="single" w:sz="12" w:space="0" w:color="000000"/>
              <w:right w:val="single" w:sz="12" w:space="0" w:color="000000"/>
            </w:tcBorders>
            <w:shd w:val="clear" w:color="auto" w:fill="F2F2F2"/>
            <w:tcMar>
              <w:top w:w="100" w:type="dxa"/>
              <w:left w:w="100" w:type="dxa"/>
              <w:bottom w:w="100" w:type="dxa"/>
              <w:right w:w="100" w:type="dxa"/>
            </w:tcMar>
          </w:tcPr>
          <w:p w14:paraId="2D8949B6" w14:textId="77777777" w:rsidR="00076856" w:rsidRPr="00A701FA" w:rsidRDefault="00DE4299" w:rsidP="00756C58">
            <w:pPr>
              <w:spacing w:line="360" w:lineRule="auto"/>
              <w:ind w:left="60" w:right="60"/>
              <w:jc w:val="right"/>
              <w:rPr>
                <w:rFonts w:ascii="Arial" w:eastAsia="Arial" w:hAnsi="Arial" w:cs="Arial"/>
                <w:sz w:val="20"/>
                <w:szCs w:val="20"/>
              </w:rPr>
            </w:pPr>
            <w:r w:rsidRPr="00A701FA">
              <w:rPr>
                <w:rFonts w:ascii="Arial" w:eastAsia="Arial" w:hAnsi="Arial" w:cs="Arial"/>
                <w:sz w:val="20"/>
                <w:szCs w:val="20"/>
              </w:rPr>
              <w:t>24.8%</w:t>
            </w:r>
          </w:p>
        </w:tc>
      </w:tr>
      <w:tr w:rsidR="00076856" w:rsidRPr="00A701FA" w14:paraId="3CCF8062" w14:textId="77777777" w:rsidTr="00E67E71">
        <w:trPr>
          <w:trHeight w:val="530"/>
        </w:trPr>
        <w:tc>
          <w:tcPr>
            <w:tcW w:w="814" w:type="pct"/>
            <w:gridSpan w:val="2"/>
            <w:vMerge w:val="restart"/>
            <w:tcBorders>
              <w:top w:val="single" w:sz="12" w:space="0" w:color="000000"/>
              <w:left w:val="single" w:sz="12" w:space="0" w:color="000000"/>
              <w:bottom w:val="single" w:sz="4" w:space="0" w:color="000000"/>
              <w:right w:val="single" w:sz="12" w:space="0" w:color="000000"/>
            </w:tcBorders>
            <w:shd w:val="clear" w:color="auto" w:fill="F2F2F2"/>
            <w:tcMar>
              <w:top w:w="100" w:type="dxa"/>
              <w:left w:w="100" w:type="dxa"/>
              <w:bottom w:w="100" w:type="dxa"/>
              <w:right w:w="100" w:type="dxa"/>
            </w:tcMar>
            <w:vAlign w:val="center"/>
          </w:tcPr>
          <w:p w14:paraId="7F64844D" w14:textId="77777777" w:rsidR="00076856" w:rsidRPr="00A701FA" w:rsidRDefault="00DE4299" w:rsidP="00756C58">
            <w:pPr>
              <w:spacing w:line="360" w:lineRule="auto"/>
              <w:ind w:left="60" w:right="60"/>
              <w:jc w:val="center"/>
              <w:rPr>
                <w:rFonts w:ascii="Arial" w:eastAsia="Arial" w:hAnsi="Arial" w:cs="Arial"/>
                <w:sz w:val="20"/>
                <w:szCs w:val="20"/>
              </w:rPr>
            </w:pPr>
            <w:r w:rsidRPr="00A701FA">
              <w:rPr>
                <w:rFonts w:ascii="Arial" w:eastAsia="Arial" w:hAnsi="Arial" w:cs="Arial"/>
                <w:sz w:val="20"/>
                <w:szCs w:val="20"/>
              </w:rPr>
              <w:t>Sveukupno</w:t>
            </w:r>
          </w:p>
        </w:tc>
        <w:tc>
          <w:tcPr>
            <w:tcW w:w="553" w:type="pct"/>
            <w:tcBorders>
              <w:top w:val="single" w:sz="12" w:space="0" w:color="000000"/>
              <w:left w:val="single" w:sz="12" w:space="0" w:color="000000"/>
              <w:bottom w:val="single" w:sz="4" w:space="0" w:color="000000"/>
              <w:right w:val="single" w:sz="12" w:space="0" w:color="000000"/>
            </w:tcBorders>
            <w:shd w:val="clear" w:color="auto" w:fill="F2F2F2"/>
            <w:tcMar>
              <w:top w:w="100" w:type="dxa"/>
              <w:left w:w="100" w:type="dxa"/>
              <w:bottom w:w="100" w:type="dxa"/>
              <w:right w:w="100" w:type="dxa"/>
            </w:tcMar>
          </w:tcPr>
          <w:p w14:paraId="4E348AB0" w14:textId="77777777" w:rsidR="00076856" w:rsidRPr="00A701FA" w:rsidRDefault="00DE4299" w:rsidP="00756C58">
            <w:pPr>
              <w:spacing w:line="360" w:lineRule="auto"/>
              <w:ind w:left="60" w:right="60"/>
              <w:rPr>
                <w:rFonts w:ascii="Arial" w:eastAsia="Arial" w:hAnsi="Arial" w:cs="Arial"/>
                <w:sz w:val="20"/>
                <w:szCs w:val="20"/>
              </w:rPr>
            </w:pPr>
            <w:r w:rsidRPr="00A701FA">
              <w:rPr>
                <w:rFonts w:ascii="Arial" w:eastAsia="Arial" w:hAnsi="Arial" w:cs="Arial"/>
                <w:sz w:val="20"/>
                <w:szCs w:val="20"/>
              </w:rPr>
              <w:t>Broj( N)</w:t>
            </w:r>
          </w:p>
        </w:tc>
        <w:tc>
          <w:tcPr>
            <w:tcW w:w="498" w:type="pct"/>
            <w:tcBorders>
              <w:top w:val="single" w:sz="12" w:space="0" w:color="000000"/>
              <w:left w:val="single" w:sz="12" w:space="0" w:color="000000"/>
              <w:bottom w:val="single" w:sz="4" w:space="0" w:color="000000"/>
              <w:right w:val="single" w:sz="4" w:space="0" w:color="000000"/>
            </w:tcBorders>
            <w:shd w:val="clear" w:color="auto" w:fill="F2F2F2"/>
            <w:tcMar>
              <w:top w:w="100" w:type="dxa"/>
              <w:left w:w="100" w:type="dxa"/>
              <w:bottom w:w="100" w:type="dxa"/>
              <w:right w:w="100" w:type="dxa"/>
            </w:tcMar>
          </w:tcPr>
          <w:p w14:paraId="50B96092" w14:textId="77777777" w:rsidR="00076856" w:rsidRPr="00A701FA" w:rsidRDefault="00DE4299" w:rsidP="00756C58">
            <w:pPr>
              <w:spacing w:line="360" w:lineRule="auto"/>
              <w:ind w:left="60" w:right="60"/>
              <w:jc w:val="right"/>
              <w:rPr>
                <w:rFonts w:ascii="Arial" w:eastAsia="Arial" w:hAnsi="Arial" w:cs="Arial"/>
                <w:sz w:val="20"/>
                <w:szCs w:val="20"/>
              </w:rPr>
            </w:pPr>
            <w:r w:rsidRPr="00A701FA">
              <w:rPr>
                <w:rFonts w:ascii="Arial" w:eastAsia="Arial" w:hAnsi="Arial" w:cs="Arial"/>
                <w:sz w:val="20"/>
                <w:szCs w:val="20"/>
              </w:rPr>
              <w:t>317</w:t>
            </w:r>
          </w:p>
        </w:tc>
        <w:tc>
          <w:tcPr>
            <w:tcW w:w="522" w:type="pct"/>
            <w:tcBorders>
              <w:top w:val="single" w:sz="12" w:space="0" w:color="000000"/>
              <w:left w:val="single" w:sz="4" w:space="0" w:color="000000"/>
              <w:bottom w:val="single" w:sz="4" w:space="0" w:color="000000"/>
              <w:right w:val="single" w:sz="4" w:space="0" w:color="000000"/>
            </w:tcBorders>
            <w:shd w:val="clear" w:color="auto" w:fill="F2F2F2"/>
            <w:tcMar>
              <w:top w:w="100" w:type="dxa"/>
              <w:left w:w="100" w:type="dxa"/>
              <w:bottom w:w="100" w:type="dxa"/>
              <w:right w:w="100" w:type="dxa"/>
            </w:tcMar>
          </w:tcPr>
          <w:p w14:paraId="72BAAAAF" w14:textId="77777777" w:rsidR="00076856" w:rsidRPr="00A701FA" w:rsidRDefault="00DE4299" w:rsidP="00756C58">
            <w:pPr>
              <w:spacing w:line="360" w:lineRule="auto"/>
              <w:ind w:left="60" w:right="60"/>
              <w:jc w:val="right"/>
              <w:rPr>
                <w:rFonts w:ascii="Arial" w:eastAsia="Arial" w:hAnsi="Arial" w:cs="Arial"/>
                <w:sz w:val="20"/>
                <w:szCs w:val="20"/>
              </w:rPr>
            </w:pPr>
            <w:r w:rsidRPr="00A701FA">
              <w:rPr>
                <w:rFonts w:ascii="Arial" w:eastAsia="Arial" w:hAnsi="Arial" w:cs="Arial"/>
                <w:sz w:val="20"/>
                <w:szCs w:val="20"/>
              </w:rPr>
              <w:t>125</w:t>
            </w:r>
          </w:p>
        </w:tc>
        <w:tc>
          <w:tcPr>
            <w:tcW w:w="523" w:type="pct"/>
            <w:tcBorders>
              <w:top w:val="single" w:sz="12" w:space="0" w:color="000000"/>
              <w:left w:val="single" w:sz="4" w:space="0" w:color="000000"/>
              <w:bottom w:val="single" w:sz="4" w:space="0" w:color="000000"/>
              <w:right w:val="single" w:sz="4" w:space="0" w:color="000000"/>
            </w:tcBorders>
            <w:shd w:val="clear" w:color="auto" w:fill="F2F2F2"/>
            <w:tcMar>
              <w:top w:w="100" w:type="dxa"/>
              <w:left w:w="100" w:type="dxa"/>
              <w:bottom w:w="100" w:type="dxa"/>
              <w:right w:w="100" w:type="dxa"/>
            </w:tcMar>
          </w:tcPr>
          <w:p w14:paraId="7E33001E" w14:textId="77777777" w:rsidR="00076856" w:rsidRPr="00A701FA" w:rsidRDefault="00DE4299" w:rsidP="00756C58">
            <w:pPr>
              <w:spacing w:line="360" w:lineRule="auto"/>
              <w:ind w:left="60" w:right="60"/>
              <w:jc w:val="right"/>
              <w:rPr>
                <w:rFonts w:ascii="Arial" w:eastAsia="Arial" w:hAnsi="Arial" w:cs="Arial"/>
                <w:sz w:val="20"/>
                <w:szCs w:val="20"/>
              </w:rPr>
            </w:pPr>
            <w:r w:rsidRPr="00A701FA">
              <w:rPr>
                <w:rFonts w:ascii="Arial" w:eastAsia="Arial" w:hAnsi="Arial" w:cs="Arial"/>
                <w:sz w:val="20"/>
                <w:szCs w:val="20"/>
              </w:rPr>
              <w:t>339</w:t>
            </w:r>
          </w:p>
        </w:tc>
        <w:tc>
          <w:tcPr>
            <w:tcW w:w="522" w:type="pct"/>
            <w:tcBorders>
              <w:top w:val="single" w:sz="12" w:space="0" w:color="000000"/>
              <w:left w:val="single" w:sz="4" w:space="0" w:color="000000"/>
              <w:bottom w:val="single" w:sz="4" w:space="0" w:color="000000"/>
              <w:right w:val="single" w:sz="4" w:space="0" w:color="000000"/>
            </w:tcBorders>
            <w:shd w:val="clear" w:color="auto" w:fill="F2F2F2"/>
            <w:tcMar>
              <w:top w:w="100" w:type="dxa"/>
              <w:left w:w="100" w:type="dxa"/>
              <w:bottom w:w="100" w:type="dxa"/>
              <w:right w:w="100" w:type="dxa"/>
            </w:tcMar>
          </w:tcPr>
          <w:p w14:paraId="05988B8B" w14:textId="77777777" w:rsidR="00076856" w:rsidRPr="00A701FA" w:rsidRDefault="00DE4299" w:rsidP="00756C58">
            <w:pPr>
              <w:spacing w:line="360" w:lineRule="auto"/>
              <w:ind w:left="60" w:right="60"/>
              <w:jc w:val="right"/>
              <w:rPr>
                <w:rFonts w:ascii="Arial" w:eastAsia="Arial" w:hAnsi="Arial" w:cs="Arial"/>
                <w:sz w:val="20"/>
                <w:szCs w:val="20"/>
              </w:rPr>
            </w:pPr>
            <w:r w:rsidRPr="00A701FA">
              <w:rPr>
                <w:rFonts w:ascii="Arial" w:eastAsia="Arial" w:hAnsi="Arial" w:cs="Arial"/>
                <w:sz w:val="20"/>
                <w:szCs w:val="20"/>
              </w:rPr>
              <w:t>35</w:t>
            </w:r>
          </w:p>
        </w:tc>
        <w:tc>
          <w:tcPr>
            <w:tcW w:w="522" w:type="pct"/>
            <w:tcBorders>
              <w:top w:val="single" w:sz="12" w:space="0" w:color="000000"/>
              <w:left w:val="single" w:sz="4" w:space="0" w:color="000000"/>
              <w:bottom w:val="single" w:sz="4" w:space="0" w:color="000000"/>
              <w:right w:val="single" w:sz="4" w:space="0" w:color="000000"/>
            </w:tcBorders>
            <w:shd w:val="clear" w:color="auto" w:fill="F2F2F2"/>
            <w:tcMar>
              <w:top w:w="100" w:type="dxa"/>
              <w:left w:w="100" w:type="dxa"/>
              <w:bottom w:w="100" w:type="dxa"/>
              <w:right w:w="100" w:type="dxa"/>
            </w:tcMar>
          </w:tcPr>
          <w:p w14:paraId="482E04B9" w14:textId="77777777" w:rsidR="00076856" w:rsidRPr="00A701FA" w:rsidRDefault="00DE4299" w:rsidP="00756C58">
            <w:pPr>
              <w:spacing w:line="360" w:lineRule="auto"/>
              <w:ind w:left="60" w:right="60"/>
              <w:jc w:val="right"/>
              <w:rPr>
                <w:rFonts w:ascii="Arial" w:eastAsia="Arial" w:hAnsi="Arial" w:cs="Arial"/>
                <w:sz w:val="20"/>
                <w:szCs w:val="20"/>
              </w:rPr>
            </w:pPr>
            <w:r w:rsidRPr="00A701FA">
              <w:rPr>
                <w:rFonts w:ascii="Arial" w:eastAsia="Arial" w:hAnsi="Arial" w:cs="Arial"/>
                <w:sz w:val="20"/>
                <w:szCs w:val="20"/>
              </w:rPr>
              <w:t>74</w:t>
            </w:r>
          </w:p>
        </w:tc>
        <w:tc>
          <w:tcPr>
            <w:tcW w:w="522" w:type="pct"/>
            <w:tcBorders>
              <w:top w:val="single" w:sz="12" w:space="0" w:color="000000"/>
              <w:left w:val="single" w:sz="4" w:space="0" w:color="000000"/>
              <w:bottom w:val="single" w:sz="4" w:space="0" w:color="000000"/>
              <w:right w:val="single" w:sz="12" w:space="0" w:color="000000"/>
            </w:tcBorders>
            <w:shd w:val="clear" w:color="auto" w:fill="F2F2F2"/>
            <w:tcMar>
              <w:top w:w="100" w:type="dxa"/>
              <w:left w:w="100" w:type="dxa"/>
              <w:bottom w:w="100" w:type="dxa"/>
              <w:right w:w="100" w:type="dxa"/>
            </w:tcMar>
          </w:tcPr>
          <w:p w14:paraId="28781403" w14:textId="77777777" w:rsidR="00076856" w:rsidRPr="00A701FA" w:rsidRDefault="00DE4299" w:rsidP="00756C58">
            <w:pPr>
              <w:spacing w:line="360" w:lineRule="auto"/>
              <w:ind w:left="60" w:right="60"/>
              <w:jc w:val="right"/>
              <w:rPr>
                <w:rFonts w:ascii="Arial" w:eastAsia="Arial" w:hAnsi="Arial" w:cs="Arial"/>
                <w:sz w:val="20"/>
                <w:szCs w:val="20"/>
              </w:rPr>
            </w:pPr>
            <w:r w:rsidRPr="00A701FA">
              <w:rPr>
                <w:rFonts w:ascii="Arial" w:eastAsia="Arial" w:hAnsi="Arial" w:cs="Arial"/>
                <w:sz w:val="20"/>
                <w:szCs w:val="20"/>
              </w:rPr>
              <w:t>533</w:t>
            </w:r>
          </w:p>
        </w:tc>
        <w:tc>
          <w:tcPr>
            <w:tcW w:w="523" w:type="pct"/>
            <w:tcBorders>
              <w:top w:val="single" w:sz="12" w:space="0" w:color="000000"/>
              <w:left w:val="single" w:sz="12" w:space="0" w:color="000000"/>
              <w:bottom w:val="single" w:sz="4" w:space="0" w:color="000000"/>
              <w:right w:val="single" w:sz="12" w:space="0" w:color="000000"/>
            </w:tcBorders>
            <w:shd w:val="clear" w:color="auto" w:fill="F2F2F2"/>
            <w:tcMar>
              <w:top w:w="100" w:type="dxa"/>
              <w:left w:w="100" w:type="dxa"/>
              <w:bottom w:w="100" w:type="dxa"/>
              <w:right w:w="100" w:type="dxa"/>
            </w:tcMar>
          </w:tcPr>
          <w:p w14:paraId="21A472A9" w14:textId="77777777" w:rsidR="00076856" w:rsidRPr="00A701FA" w:rsidRDefault="00DE4299" w:rsidP="00756C58">
            <w:pPr>
              <w:spacing w:line="360" w:lineRule="auto"/>
              <w:ind w:left="60" w:right="60"/>
              <w:jc w:val="right"/>
              <w:rPr>
                <w:rFonts w:ascii="Arial" w:eastAsia="Arial" w:hAnsi="Arial" w:cs="Arial"/>
                <w:sz w:val="20"/>
                <w:szCs w:val="20"/>
              </w:rPr>
            </w:pPr>
            <w:r w:rsidRPr="00A701FA">
              <w:rPr>
                <w:rFonts w:ascii="Arial" w:eastAsia="Arial" w:hAnsi="Arial" w:cs="Arial"/>
                <w:sz w:val="20"/>
                <w:szCs w:val="20"/>
              </w:rPr>
              <w:t>1423</w:t>
            </w:r>
          </w:p>
        </w:tc>
      </w:tr>
      <w:tr w:rsidR="00076856" w:rsidRPr="00A701FA" w14:paraId="50DDFBBA" w14:textId="77777777" w:rsidTr="00E67E71">
        <w:trPr>
          <w:trHeight w:val="720"/>
        </w:trPr>
        <w:tc>
          <w:tcPr>
            <w:tcW w:w="814" w:type="pct"/>
            <w:gridSpan w:val="2"/>
            <w:vMerge/>
            <w:tcBorders>
              <w:top w:val="single" w:sz="12" w:space="0" w:color="000000"/>
              <w:left w:val="single" w:sz="12" w:space="0" w:color="000000"/>
              <w:bottom w:val="single" w:sz="4" w:space="0" w:color="000000"/>
              <w:right w:val="single" w:sz="12" w:space="0" w:color="000000"/>
            </w:tcBorders>
            <w:shd w:val="clear" w:color="auto" w:fill="F2F2F2"/>
            <w:tcMar>
              <w:top w:w="100" w:type="dxa"/>
              <w:left w:w="100" w:type="dxa"/>
              <w:bottom w:w="100" w:type="dxa"/>
              <w:right w:w="100" w:type="dxa"/>
            </w:tcMar>
            <w:vAlign w:val="center"/>
          </w:tcPr>
          <w:p w14:paraId="7F7CF1E9" w14:textId="77777777" w:rsidR="00076856" w:rsidRPr="00A701FA" w:rsidRDefault="00076856" w:rsidP="00756C58">
            <w:pPr>
              <w:widowControl w:val="0"/>
              <w:pBdr>
                <w:top w:val="nil"/>
                <w:left w:val="nil"/>
                <w:bottom w:val="nil"/>
                <w:right w:val="nil"/>
                <w:between w:val="nil"/>
              </w:pBdr>
              <w:spacing w:line="360" w:lineRule="auto"/>
              <w:rPr>
                <w:rFonts w:ascii="Arial" w:eastAsia="Arial" w:hAnsi="Arial" w:cs="Arial"/>
                <w:sz w:val="20"/>
                <w:szCs w:val="20"/>
              </w:rPr>
            </w:pPr>
          </w:p>
        </w:tc>
        <w:tc>
          <w:tcPr>
            <w:tcW w:w="553" w:type="pct"/>
            <w:tcBorders>
              <w:top w:val="single" w:sz="4" w:space="0" w:color="000000"/>
              <w:left w:val="single" w:sz="12" w:space="0" w:color="000000"/>
              <w:bottom w:val="single" w:sz="12" w:space="0" w:color="000000"/>
              <w:right w:val="single" w:sz="12" w:space="0" w:color="000000"/>
            </w:tcBorders>
            <w:shd w:val="clear" w:color="auto" w:fill="F2F2F2"/>
            <w:tcMar>
              <w:top w:w="100" w:type="dxa"/>
              <w:left w:w="100" w:type="dxa"/>
              <w:bottom w:w="100" w:type="dxa"/>
              <w:right w:w="100" w:type="dxa"/>
            </w:tcMar>
          </w:tcPr>
          <w:p w14:paraId="77596E54" w14:textId="77777777" w:rsidR="00076856" w:rsidRPr="00A701FA" w:rsidRDefault="00DE4299" w:rsidP="00756C58">
            <w:pPr>
              <w:spacing w:line="360" w:lineRule="auto"/>
              <w:ind w:left="60" w:right="60"/>
              <w:rPr>
                <w:rFonts w:ascii="Arial" w:eastAsia="Arial" w:hAnsi="Arial" w:cs="Arial"/>
                <w:sz w:val="20"/>
                <w:szCs w:val="20"/>
              </w:rPr>
            </w:pPr>
            <w:r w:rsidRPr="00A701FA">
              <w:rPr>
                <w:rFonts w:ascii="Arial" w:eastAsia="Arial" w:hAnsi="Arial" w:cs="Arial"/>
                <w:sz w:val="20"/>
                <w:szCs w:val="20"/>
              </w:rPr>
              <w:t>% unutar fakulteta</w:t>
            </w:r>
          </w:p>
        </w:tc>
        <w:tc>
          <w:tcPr>
            <w:tcW w:w="498" w:type="pct"/>
            <w:tcBorders>
              <w:top w:val="single" w:sz="4" w:space="0" w:color="000000"/>
              <w:left w:val="single" w:sz="12" w:space="0" w:color="000000"/>
              <w:bottom w:val="single" w:sz="12" w:space="0" w:color="000000"/>
              <w:right w:val="single" w:sz="4" w:space="0" w:color="000000"/>
            </w:tcBorders>
            <w:shd w:val="clear" w:color="auto" w:fill="F2F2F2"/>
            <w:tcMar>
              <w:top w:w="100" w:type="dxa"/>
              <w:left w:w="100" w:type="dxa"/>
              <w:bottom w:w="100" w:type="dxa"/>
              <w:right w:w="100" w:type="dxa"/>
            </w:tcMar>
          </w:tcPr>
          <w:p w14:paraId="3CEA81EE" w14:textId="77777777" w:rsidR="00076856" w:rsidRPr="00A701FA" w:rsidRDefault="00DE4299" w:rsidP="00756C58">
            <w:pPr>
              <w:spacing w:line="360" w:lineRule="auto"/>
              <w:ind w:left="60" w:right="60"/>
              <w:jc w:val="right"/>
              <w:rPr>
                <w:rFonts w:ascii="Arial" w:eastAsia="Arial" w:hAnsi="Arial" w:cs="Arial"/>
                <w:sz w:val="20"/>
                <w:szCs w:val="20"/>
              </w:rPr>
            </w:pPr>
            <w:r w:rsidRPr="00A701FA">
              <w:rPr>
                <w:rFonts w:ascii="Arial" w:eastAsia="Arial" w:hAnsi="Arial" w:cs="Arial"/>
                <w:sz w:val="20"/>
                <w:szCs w:val="20"/>
              </w:rPr>
              <w:t>100.0%</w:t>
            </w:r>
          </w:p>
        </w:tc>
        <w:tc>
          <w:tcPr>
            <w:tcW w:w="522" w:type="pct"/>
            <w:tcBorders>
              <w:top w:val="single" w:sz="4" w:space="0" w:color="000000"/>
              <w:left w:val="single" w:sz="4" w:space="0" w:color="000000"/>
              <w:bottom w:val="single" w:sz="12" w:space="0" w:color="000000"/>
              <w:right w:val="single" w:sz="4" w:space="0" w:color="000000"/>
            </w:tcBorders>
            <w:shd w:val="clear" w:color="auto" w:fill="F2F2F2"/>
            <w:tcMar>
              <w:top w:w="100" w:type="dxa"/>
              <w:left w:w="100" w:type="dxa"/>
              <w:bottom w:w="100" w:type="dxa"/>
              <w:right w:w="100" w:type="dxa"/>
            </w:tcMar>
          </w:tcPr>
          <w:p w14:paraId="0B875338" w14:textId="77777777" w:rsidR="00076856" w:rsidRPr="00A701FA" w:rsidRDefault="00DE4299" w:rsidP="00756C58">
            <w:pPr>
              <w:spacing w:line="360" w:lineRule="auto"/>
              <w:ind w:left="60" w:right="60"/>
              <w:jc w:val="right"/>
              <w:rPr>
                <w:rFonts w:ascii="Arial" w:eastAsia="Arial" w:hAnsi="Arial" w:cs="Arial"/>
                <w:sz w:val="20"/>
                <w:szCs w:val="20"/>
              </w:rPr>
            </w:pPr>
            <w:r w:rsidRPr="00A701FA">
              <w:rPr>
                <w:rFonts w:ascii="Arial" w:eastAsia="Arial" w:hAnsi="Arial" w:cs="Arial"/>
                <w:sz w:val="20"/>
                <w:szCs w:val="20"/>
              </w:rPr>
              <w:t>100.0%</w:t>
            </w:r>
          </w:p>
        </w:tc>
        <w:tc>
          <w:tcPr>
            <w:tcW w:w="523" w:type="pct"/>
            <w:tcBorders>
              <w:top w:val="single" w:sz="4" w:space="0" w:color="000000"/>
              <w:left w:val="single" w:sz="4" w:space="0" w:color="000000"/>
              <w:bottom w:val="single" w:sz="12" w:space="0" w:color="000000"/>
              <w:right w:val="single" w:sz="4" w:space="0" w:color="000000"/>
            </w:tcBorders>
            <w:shd w:val="clear" w:color="auto" w:fill="F2F2F2"/>
            <w:tcMar>
              <w:top w:w="100" w:type="dxa"/>
              <w:left w:w="100" w:type="dxa"/>
              <w:bottom w:w="100" w:type="dxa"/>
              <w:right w:w="100" w:type="dxa"/>
            </w:tcMar>
          </w:tcPr>
          <w:p w14:paraId="619030F5" w14:textId="77777777" w:rsidR="00076856" w:rsidRPr="00A701FA" w:rsidRDefault="00DE4299" w:rsidP="00756C58">
            <w:pPr>
              <w:spacing w:line="360" w:lineRule="auto"/>
              <w:ind w:left="60" w:right="60"/>
              <w:jc w:val="right"/>
              <w:rPr>
                <w:rFonts w:ascii="Arial" w:eastAsia="Arial" w:hAnsi="Arial" w:cs="Arial"/>
                <w:sz w:val="20"/>
                <w:szCs w:val="20"/>
              </w:rPr>
            </w:pPr>
            <w:r w:rsidRPr="00A701FA">
              <w:rPr>
                <w:rFonts w:ascii="Arial" w:eastAsia="Arial" w:hAnsi="Arial" w:cs="Arial"/>
                <w:sz w:val="20"/>
                <w:szCs w:val="20"/>
              </w:rPr>
              <w:t>100.0%</w:t>
            </w:r>
          </w:p>
        </w:tc>
        <w:tc>
          <w:tcPr>
            <w:tcW w:w="522" w:type="pct"/>
            <w:tcBorders>
              <w:top w:val="single" w:sz="4" w:space="0" w:color="000000"/>
              <w:left w:val="single" w:sz="4" w:space="0" w:color="000000"/>
              <w:bottom w:val="single" w:sz="12" w:space="0" w:color="000000"/>
              <w:right w:val="single" w:sz="4" w:space="0" w:color="000000"/>
            </w:tcBorders>
            <w:shd w:val="clear" w:color="auto" w:fill="F2F2F2"/>
            <w:tcMar>
              <w:top w:w="100" w:type="dxa"/>
              <w:left w:w="100" w:type="dxa"/>
              <w:bottom w:w="100" w:type="dxa"/>
              <w:right w:w="100" w:type="dxa"/>
            </w:tcMar>
          </w:tcPr>
          <w:p w14:paraId="73B307E2" w14:textId="77777777" w:rsidR="00076856" w:rsidRPr="00A701FA" w:rsidRDefault="00DE4299" w:rsidP="00756C58">
            <w:pPr>
              <w:spacing w:line="360" w:lineRule="auto"/>
              <w:ind w:left="60" w:right="60"/>
              <w:jc w:val="right"/>
              <w:rPr>
                <w:rFonts w:ascii="Arial" w:eastAsia="Arial" w:hAnsi="Arial" w:cs="Arial"/>
                <w:sz w:val="20"/>
                <w:szCs w:val="20"/>
              </w:rPr>
            </w:pPr>
            <w:r w:rsidRPr="00A701FA">
              <w:rPr>
                <w:rFonts w:ascii="Arial" w:eastAsia="Arial" w:hAnsi="Arial" w:cs="Arial"/>
                <w:sz w:val="20"/>
                <w:szCs w:val="20"/>
              </w:rPr>
              <w:t>100.0%</w:t>
            </w:r>
          </w:p>
        </w:tc>
        <w:tc>
          <w:tcPr>
            <w:tcW w:w="522" w:type="pct"/>
            <w:tcBorders>
              <w:top w:val="single" w:sz="4" w:space="0" w:color="000000"/>
              <w:left w:val="single" w:sz="4" w:space="0" w:color="000000"/>
              <w:bottom w:val="single" w:sz="12" w:space="0" w:color="000000"/>
              <w:right w:val="single" w:sz="4" w:space="0" w:color="000000"/>
            </w:tcBorders>
            <w:shd w:val="clear" w:color="auto" w:fill="F2F2F2"/>
            <w:tcMar>
              <w:top w:w="100" w:type="dxa"/>
              <w:left w:w="100" w:type="dxa"/>
              <w:bottom w:w="100" w:type="dxa"/>
              <w:right w:w="100" w:type="dxa"/>
            </w:tcMar>
          </w:tcPr>
          <w:p w14:paraId="364263FC" w14:textId="77777777" w:rsidR="00076856" w:rsidRPr="00A701FA" w:rsidRDefault="00DE4299" w:rsidP="00756C58">
            <w:pPr>
              <w:spacing w:line="360" w:lineRule="auto"/>
              <w:ind w:left="60" w:right="60"/>
              <w:jc w:val="right"/>
              <w:rPr>
                <w:rFonts w:ascii="Arial" w:eastAsia="Arial" w:hAnsi="Arial" w:cs="Arial"/>
                <w:sz w:val="20"/>
                <w:szCs w:val="20"/>
              </w:rPr>
            </w:pPr>
            <w:r w:rsidRPr="00A701FA">
              <w:rPr>
                <w:rFonts w:ascii="Arial" w:eastAsia="Arial" w:hAnsi="Arial" w:cs="Arial"/>
                <w:sz w:val="20"/>
                <w:szCs w:val="20"/>
              </w:rPr>
              <w:t>100.0%</w:t>
            </w:r>
          </w:p>
        </w:tc>
        <w:tc>
          <w:tcPr>
            <w:tcW w:w="522" w:type="pct"/>
            <w:tcBorders>
              <w:top w:val="single" w:sz="4" w:space="0" w:color="000000"/>
              <w:left w:val="single" w:sz="4" w:space="0" w:color="000000"/>
              <w:bottom w:val="single" w:sz="12" w:space="0" w:color="000000"/>
              <w:right w:val="single" w:sz="12" w:space="0" w:color="000000"/>
            </w:tcBorders>
            <w:shd w:val="clear" w:color="auto" w:fill="F2F2F2"/>
            <w:tcMar>
              <w:top w:w="100" w:type="dxa"/>
              <w:left w:w="100" w:type="dxa"/>
              <w:bottom w:w="100" w:type="dxa"/>
              <w:right w:w="100" w:type="dxa"/>
            </w:tcMar>
          </w:tcPr>
          <w:p w14:paraId="2C029031" w14:textId="77777777" w:rsidR="00076856" w:rsidRPr="00A701FA" w:rsidRDefault="00DE4299" w:rsidP="00756C58">
            <w:pPr>
              <w:spacing w:line="360" w:lineRule="auto"/>
              <w:ind w:left="60" w:right="60"/>
              <w:jc w:val="right"/>
              <w:rPr>
                <w:rFonts w:ascii="Arial" w:eastAsia="Arial" w:hAnsi="Arial" w:cs="Arial"/>
                <w:sz w:val="20"/>
                <w:szCs w:val="20"/>
              </w:rPr>
            </w:pPr>
            <w:r w:rsidRPr="00A701FA">
              <w:rPr>
                <w:rFonts w:ascii="Arial" w:eastAsia="Arial" w:hAnsi="Arial" w:cs="Arial"/>
                <w:sz w:val="20"/>
                <w:szCs w:val="20"/>
              </w:rPr>
              <w:t>100.0%</w:t>
            </w:r>
          </w:p>
        </w:tc>
        <w:tc>
          <w:tcPr>
            <w:tcW w:w="523" w:type="pct"/>
            <w:tcBorders>
              <w:top w:val="single" w:sz="4" w:space="0" w:color="000000"/>
              <w:left w:val="single" w:sz="12" w:space="0" w:color="000000"/>
              <w:bottom w:val="single" w:sz="12" w:space="0" w:color="000000"/>
              <w:right w:val="single" w:sz="12" w:space="0" w:color="000000"/>
            </w:tcBorders>
            <w:shd w:val="clear" w:color="auto" w:fill="F2F2F2"/>
            <w:tcMar>
              <w:top w:w="100" w:type="dxa"/>
              <w:left w:w="100" w:type="dxa"/>
              <w:bottom w:w="100" w:type="dxa"/>
              <w:right w:w="100" w:type="dxa"/>
            </w:tcMar>
          </w:tcPr>
          <w:p w14:paraId="796272E0" w14:textId="77777777" w:rsidR="00076856" w:rsidRPr="00A701FA" w:rsidRDefault="00DE4299" w:rsidP="00756C58">
            <w:pPr>
              <w:spacing w:line="360" w:lineRule="auto"/>
              <w:ind w:left="60" w:right="60"/>
              <w:jc w:val="right"/>
              <w:rPr>
                <w:rFonts w:ascii="Arial" w:eastAsia="Arial" w:hAnsi="Arial" w:cs="Arial"/>
                <w:sz w:val="20"/>
                <w:szCs w:val="20"/>
              </w:rPr>
            </w:pPr>
            <w:r w:rsidRPr="00A701FA">
              <w:rPr>
                <w:rFonts w:ascii="Arial" w:eastAsia="Arial" w:hAnsi="Arial" w:cs="Arial"/>
                <w:sz w:val="20"/>
                <w:szCs w:val="20"/>
              </w:rPr>
              <w:t>100.0%</w:t>
            </w:r>
          </w:p>
        </w:tc>
      </w:tr>
    </w:tbl>
    <w:p w14:paraId="6F0EEE40" w14:textId="77777777" w:rsidR="00076856" w:rsidRDefault="00DE4299" w:rsidP="00756C58">
      <w:pPr>
        <w:spacing w:before="240" w:after="240" w:line="360" w:lineRule="auto"/>
        <w:rPr>
          <w:rFonts w:ascii="Arial" w:eastAsia="Arial" w:hAnsi="Arial" w:cs="Arial"/>
        </w:rPr>
      </w:pPr>
      <w:r>
        <w:rPr>
          <w:rFonts w:ascii="Arial" w:eastAsia="Arial" w:hAnsi="Arial" w:cs="Arial"/>
        </w:rPr>
        <w:lastRenderedPageBreak/>
        <w:t xml:space="preserve"> </w:t>
      </w:r>
    </w:p>
    <w:p w14:paraId="2AD70BBB" w14:textId="77777777" w:rsidR="00076856" w:rsidRPr="00A54222" w:rsidRDefault="00DE4299" w:rsidP="00756C58">
      <w:pPr>
        <w:spacing w:before="240" w:after="240" w:line="360" w:lineRule="auto"/>
        <w:jc w:val="both"/>
        <w:rPr>
          <w:rFonts w:ascii="Arial" w:eastAsia="Arial" w:hAnsi="Arial" w:cs="Arial"/>
          <w:sz w:val="20"/>
        </w:rPr>
      </w:pPr>
      <w:r w:rsidRPr="00A54222">
        <w:rPr>
          <w:rFonts w:ascii="Arial" w:eastAsia="Arial" w:hAnsi="Arial" w:cs="Arial"/>
          <w:sz w:val="20"/>
        </w:rPr>
        <w:t>Ispitivanje je provedeno među studentima Medicinskog fakulteta u Zagrebu, Medicinskog fakulteta u Rijeci, Filozofskog fakulteta u Zagrebu, Akademije dramske umjetnosti u Zagrebu, Akademije za umjetnost i kulturu u Osijeku te Pravnog fakulteta u Zagrebu. Najveći dio ispitanika čine studenti Pravnog fakulteta (37,5%), a najmanji dio studenti Akademije dramske umjetnosti u Zagrebu (2,5%).(Tablica 3).</w:t>
      </w:r>
    </w:p>
    <w:p w14:paraId="16E9CFCA" w14:textId="77777777" w:rsidR="00076856" w:rsidRPr="00A54222" w:rsidRDefault="00DE4299" w:rsidP="00756C58">
      <w:pPr>
        <w:spacing w:before="240" w:after="240" w:line="360" w:lineRule="auto"/>
        <w:jc w:val="both"/>
        <w:rPr>
          <w:rFonts w:ascii="Arial" w:eastAsia="Arial" w:hAnsi="Arial" w:cs="Arial"/>
          <w:sz w:val="20"/>
        </w:rPr>
      </w:pPr>
      <w:r w:rsidRPr="00A54222">
        <w:rPr>
          <w:rFonts w:ascii="Arial" w:eastAsia="Arial" w:hAnsi="Arial" w:cs="Arial"/>
          <w:sz w:val="20"/>
        </w:rPr>
        <w:t>Studenti biomedicinskog područja studiranja čine 31,1% sveukupnog broja ispitanika, dok  studenti umjetničkog područja čine  7,7 % sveukupnog broja ispitanika, a društveno-humanističkog područja 61,3 %.  (Tablica 4)</w:t>
      </w:r>
    </w:p>
    <w:p w14:paraId="22D53D78" w14:textId="77777777" w:rsidR="00076856" w:rsidRPr="00A54222" w:rsidRDefault="00076856" w:rsidP="00756C58">
      <w:pPr>
        <w:spacing w:before="240" w:after="240" w:line="360" w:lineRule="auto"/>
        <w:rPr>
          <w:rFonts w:ascii="Arial" w:eastAsia="Arial" w:hAnsi="Arial" w:cs="Arial"/>
          <w:sz w:val="20"/>
        </w:rPr>
      </w:pPr>
    </w:p>
    <w:p w14:paraId="69A3EA33" w14:textId="77777777" w:rsidR="00076856" w:rsidRPr="00A54222" w:rsidRDefault="00DE4299" w:rsidP="00756C58">
      <w:pPr>
        <w:spacing w:before="240" w:after="240" w:line="360" w:lineRule="auto"/>
        <w:rPr>
          <w:rFonts w:ascii="Arial" w:eastAsia="Arial" w:hAnsi="Arial" w:cs="Arial"/>
          <w:sz w:val="20"/>
        </w:rPr>
      </w:pPr>
      <w:r w:rsidRPr="00A54222">
        <w:rPr>
          <w:rFonts w:ascii="Arial" w:eastAsia="Arial" w:hAnsi="Arial" w:cs="Arial"/>
          <w:b/>
          <w:sz w:val="20"/>
        </w:rPr>
        <w:t>Tablica 4</w:t>
      </w:r>
      <w:r w:rsidRPr="00A54222">
        <w:rPr>
          <w:rFonts w:ascii="Arial" w:eastAsia="Arial" w:hAnsi="Arial" w:cs="Arial"/>
          <w:sz w:val="20"/>
        </w:rPr>
        <w:t xml:space="preserve"> - Raspodjela ispitanika po području koje studiraju</w:t>
      </w:r>
    </w:p>
    <w:tbl>
      <w:tblPr>
        <w:tblStyle w:val="af6"/>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2376"/>
        <w:gridCol w:w="2551"/>
      </w:tblGrid>
      <w:tr w:rsidR="00076856" w:rsidRPr="00A54222" w14:paraId="5B9F751A" w14:textId="77777777">
        <w:trPr>
          <w:trHeight w:val="992"/>
        </w:trPr>
        <w:tc>
          <w:tcPr>
            <w:tcW w:w="4253" w:type="dxa"/>
            <w:tcBorders>
              <w:top w:val="single" w:sz="12" w:space="0" w:color="000000"/>
              <w:left w:val="single" w:sz="12" w:space="0" w:color="000000"/>
              <w:bottom w:val="single" w:sz="12" w:space="0" w:color="000000"/>
            </w:tcBorders>
            <w:shd w:val="clear" w:color="auto" w:fill="D9D9D9"/>
            <w:vAlign w:val="center"/>
          </w:tcPr>
          <w:p w14:paraId="505C9CEA" w14:textId="77777777" w:rsidR="00076856" w:rsidRPr="00A54222" w:rsidRDefault="00DE4299" w:rsidP="00756C58">
            <w:pPr>
              <w:spacing w:line="360" w:lineRule="auto"/>
              <w:rPr>
                <w:rFonts w:ascii="Arial" w:eastAsia="Arial" w:hAnsi="Arial" w:cs="Arial"/>
                <w:sz w:val="20"/>
              </w:rPr>
            </w:pPr>
            <w:r w:rsidRPr="00A54222">
              <w:rPr>
                <w:rFonts w:ascii="Arial" w:eastAsia="Arial" w:hAnsi="Arial" w:cs="Arial"/>
                <w:sz w:val="20"/>
              </w:rPr>
              <w:t>Područje</w:t>
            </w:r>
          </w:p>
        </w:tc>
        <w:tc>
          <w:tcPr>
            <w:tcW w:w="2376" w:type="dxa"/>
            <w:tcBorders>
              <w:top w:val="single" w:sz="12" w:space="0" w:color="000000"/>
              <w:bottom w:val="single" w:sz="12" w:space="0" w:color="000000"/>
            </w:tcBorders>
            <w:shd w:val="clear" w:color="auto" w:fill="D9D9D9"/>
            <w:vAlign w:val="center"/>
          </w:tcPr>
          <w:p w14:paraId="0BFC968D" w14:textId="77777777" w:rsidR="00076856" w:rsidRPr="00A54222" w:rsidRDefault="00DE4299" w:rsidP="00756C58">
            <w:pPr>
              <w:spacing w:line="360" w:lineRule="auto"/>
              <w:rPr>
                <w:rFonts w:ascii="Arial" w:eastAsia="Arial" w:hAnsi="Arial" w:cs="Arial"/>
                <w:sz w:val="20"/>
              </w:rPr>
            </w:pPr>
            <w:r w:rsidRPr="00A54222">
              <w:rPr>
                <w:rFonts w:ascii="Arial" w:eastAsia="Arial" w:hAnsi="Arial" w:cs="Arial"/>
                <w:sz w:val="20"/>
              </w:rPr>
              <w:t xml:space="preserve">Broj </w:t>
            </w:r>
          </w:p>
          <w:p w14:paraId="74285505" w14:textId="77777777" w:rsidR="00076856" w:rsidRPr="00A54222" w:rsidRDefault="00DE4299" w:rsidP="00756C58">
            <w:pPr>
              <w:spacing w:line="360" w:lineRule="auto"/>
              <w:rPr>
                <w:rFonts w:ascii="Arial" w:eastAsia="Arial" w:hAnsi="Arial" w:cs="Arial"/>
                <w:sz w:val="20"/>
              </w:rPr>
            </w:pPr>
            <w:r w:rsidRPr="00A54222">
              <w:rPr>
                <w:rFonts w:ascii="Arial" w:eastAsia="Arial" w:hAnsi="Arial" w:cs="Arial"/>
                <w:sz w:val="20"/>
              </w:rPr>
              <w:t>ispitanika (N)</w:t>
            </w:r>
          </w:p>
        </w:tc>
        <w:tc>
          <w:tcPr>
            <w:tcW w:w="2551" w:type="dxa"/>
            <w:tcBorders>
              <w:top w:val="single" w:sz="12" w:space="0" w:color="000000"/>
              <w:bottom w:val="single" w:sz="12" w:space="0" w:color="000000"/>
              <w:right w:val="single" w:sz="12" w:space="0" w:color="000000"/>
            </w:tcBorders>
            <w:shd w:val="clear" w:color="auto" w:fill="D9D9D9"/>
            <w:vAlign w:val="center"/>
          </w:tcPr>
          <w:p w14:paraId="4A528AB1" w14:textId="77777777" w:rsidR="00076856" w:rsidRPr="00A54222" w:rsidRDefault="00DE4299" w:rsidP="00756C58">
            <w:pPr>
              <w:spacing w:line="360" w:lineRule="auto"/>
              <w:rPr>
                <w:rFonts w:ascii="Arial" w:eastAsia="Arial" w:hAnsi="Arial" w:cs="Arial"/>
                <w:sz w:val="20"/>
              </w:rPr>
            </w:pPr>
            <w:r w:rsidRPr="00A54222">
              <w:rPr>
                <w:rFonts w:ascii="Arial" w:eastAsia="Arial" w:hAnsi="Arial" w:cs="Arial"/>
                <w:sz w:val="20"/>
              </w:rPr>
              <w:t>Postotak (%)</w:t>
            </w:r>
          </w:p>
        </w:tc>
      </w:tr>
      <w:tr w:rsidR="00076856" w:rsidRPr="00A54222" w14:paraId="5017A7E2" w14:textId="77777777">
        <w:trPr>
          <w:trHeight w:val="425"/>
        </w:trPr>
        <w:tc>
          <w:tcPr>
            <w:tcW w:w="4253" w:type="dxa"/>
            <w:tcBorders>
              <w:top w:val="single" w:sz="12" w:space="0" w:color="000000"/>
              <w:left w:val="single" w:sz="12" w:space="0" w:color="000000"/>
            </w:tcBorders>
          </w:tcPr>
          <w:p w14:paraId="0F5C4742" w14:textId="77777777" w:rsidR="00076856" w:rsidRPr="00A54222" w:rsidRDefault="00DE4299" w:rsidP="00756C58">
            <w:pPr>
              <w:spacing w:line="360" w:lineRule="auto"/>
              <w:rPr>
                <w:rFonts w:ascii="Arial" w:eastAsia="Arial" w:hAnsi="Arial" w:cs="Arial"/>
                <w:sz w:val="20"/>
              </w:rPr>
            </w:pPr>
            <w:r w:rsidRPr="00A54222">
              <w:rPr>
                <w:rFonts w:ascii="Arial" w:eastAsia="Arial" w:hAnsi="Arial" w:cs="Arial"/>
                <w:sz w:val="20"/>
              </w:rPr>
              <w:t>Biomedicinsko područje (medicina)</w:t>
            </w:r>
          </w:p>
        </w:tc>
        <w:tc>
          <w:tcPr>
            <w:tcW w:w="2376" w:type="dxa"/>
            <w:tcBorders>
              <w:top w:val="single" w:sz="12" w:space="0" w:color="000000"/>
            </w:tcBorders>
          </w:tcPr>
          <w:p w14:paraId="6226562A" w14:textId="77777777" w:rsidR="00076856" w:rsidRPr="00A54222" w:rsidRDefault="00DE4299" w:rsidP="00756C58">
            <w:pPr>
              <w:spacing w:line="360" w:lineRule="auto"/>
              <w:jc w:val="right"/>
              <w:rPr>
                <w:rFonts w:ascii="Arial" w:eastAsia="Arial" w:hAnsi="Arial" w:cs="Arial"/>
                <w:sz w:val="20"/>
              </w:rPr>
            </w:pPr>
            <w:r w:rsidRPr="00A54222">
              <w:rPr>
                <w:rFonts w:ascii="Arial" w:eastAsia="Arial" w:hAnsi="Arial" w:cs="Arial"/>
                <w:sz w:val="20"/>
              </w:rPr>
              <w:t>442</w:t>
            </w:r>
          </w:p>
        </w:tc>
        <w:tc>
          <w:tcPr>
            <w:tcW w:w="2551" w:type="dxa"/>
            <w:tcBorders>
              <w:top w:val="single" w:sz="12" w:space="0" w:color="000000"/>
              <w:right w:val="single" w:sz="12" w:space="0" w:color="000000"/>
            </w:tcBorders>
          </w:tcPr>
          <w:p w14:paraId="73C46305" w14:textId="77777777" w:rsidR="00076856" w:rsidRPr="00A54222" w:rsidRDefault="00DE4299" w:rsidP="00756C58">
            <w:pPr>
              <w:spacing w:line="360" w:lineRule="auto"/>
              <w:jc w:val="right"/>
              <w:rPr>
                <w:rFonts w:ascii="Arial" w:eastAsia="Arial" w:hAnsi="Arial" w:cs="Arial"/>
                <w:sz w:val="20"/>
              </w:rPr>
            </w:pPr>
            <w:r w:rsidRPr="00A54222">
              <w:rPr>
                <w:rFonts w:ascii="Arial" w:eastAsia="Arial" w:hAnsi="Arial" w:cs="Arial"/>
                <w:sz w:val="20"/>
              </w:rPr>
              <w:t>31,1</w:t>
            </w:r>
          </w:p>
        </w:tc>
      </w:tr>
      <w:tr w:rsidR="00076856" w:rsidRPr="00A54222" w14:paraId="31D61C72" w14:textId="77777777">
        <w:trPr>
          <w:trHeight w:val="425"/>
        </w:trPr>
        <w:tc>
          <w:tcPr>
            <w:tcW w:w="4253" w:type="dxa"/>
            <w:tcBorders>
              <w:left w:val="single" w:sz="12" w:space="0" w:color="000000"/>
            </w:tcBorders>
          </w:tcPr>
          <w:p w14:paraId="369066B0" w14:textId="77777777" w:rsidR="00076856" w:rsidRPr="00A54222" w:rsidRDefault="00DE4299" w:rsidP="00756C58">
            <w:pPr>
              <w:spacing w:line="360" w:lineRule="auto"/>
              <w:rPr>
                <w:rFonts w:ascii="Arial" w:eastAsia="Arial" w:hAnsi="Arial" w:cs="Arial"/>
                <w:sz w:val="20"/>
              </w:rPr>
            </w:pPr>
            <w:r w:rsidRPr="00A54222">
              <w:rPr>
                <w:rFonts w:ascii="Arial" w:eastAsia="Arial" w:hAnsi="Arial" w:cs="Arial"/>
                <w:sz w:val="20"/>
              </w:rPr>
              <w:t>Umjetničko područje</w:t>
            </w:r>
          </w:p>
        </w:tc>
        <w:tc>
          <w:tcPr>
            <w:tcW w:w="2376" w:type="dxa"/>
          </w:tcPr>
          <w:p w14:paraId="5CC042C1" w14:textId="77777777" w:rsidR="00076856" w:rsidRPr="00A54222" w:rsidRDefault="00DE4299" w:rsidP="00756C58">
            <w:pPr>
              <w:spacing w:line="360" w:lineRule="auto"/>
              <w:jc w:val="right"/>
              <w:rPr>
                <w:rFonts w:ascii="Arial" w:eastAsia="Arial" w:hAnsi="Arial" w:cs="Arial"/>
                <w:sz w:val="20"/>
              </w:rPr>
            </w:pPr>
            <w:r w:rsidRPr="00A54222">
              <w:rPr>
                <w:rFonts w:ascii="Arial" w:eastAsia="Arial" w:hAnsi="Arial" w:cs="Arial"/>
                <w:sz w:val="20"/>
              </w:rPr>
              <w:t>109</w:t>
            </w:r>
          </w:p>
        </w:tc>
        <w:tc>
          <w:tcPr>
            <w:tcW w:w="2551" w:type="dxa"/>
            <w:tcBorders>
              <w:right w:val="single" w:sz="12" w:space="0" w:color="000000"/>
            </w:tcBorders>
          </w:tcPr>
          <w:p w14:paraId="56CDD7A1" w14:textId="77777777" w:rsidR="00076856" w:rsidRPr="00A54222" w:rsidRDefault="00DE4299" w:rsidP="00756C58">
            <w:pPr>
              <w:spacing w:line="360" w:lineRule="auto"/>
              <w:jc w:val="right"/>
              <w:rPr>
                <w:rFonts w:ascii="Arial" w:eastAsia="Arial" w:hAnsi="Arial" w:cs="Arial"/>
                <w:sz w:val="20"/>
              </w:rPr>
            </w:pPr>
            <w:r w:rsidRPr="00A54222">
              <w:rPr>
                <w:rFonts w:ascii="Arial" w:eastAsia="Arial" w:hAnsi="Arial" w:cs="Arial"/>
                <w:sz w:val="20"/>
              </w:rPr>
              <w:t>7,7</w:t>
            </w:r>
          </w:p>
        </w:tc>
      </w:tr>
      <w:tr w:rsidR="00076856" w:rsidRPr="00A54222" w14:paraId="1CE07068" w14:textId="77777777">
        <w:trPr>
          <w:trHeight w:val="425"/>
        </w:trPr>
        <w:tc>
          <w:tcPr>
            <w:tcW w:w="4253" w:type="dxa"/>
            <w:tcBorders>
              <w:left w:val="single" w:sz="12" w:space="0" w:color="000000"/>
            </w:tcBorders>
          </w:tcPr>
          <w:p w14:paraId="7E0E1CE6" w14:textId="77777777" w:rsidR="00076856" w:rsidRPr="00A54222" w:rsidRDefault="00DE4299" w:rsidP="00756C58">
            <w:pPr>
              <w:spacing w:line="360" w:lineRule="auto"/>
              <w:rPr>
                <w:rFonts w:ascii="Arial" w:eastAsia="Arial" w:hAnsi="Arial" w:cs="Arial"/>
                <w:sz w:val="20"/>
              </w:rPr>
            </w:pPr>
            <w:r w:rsidRPr="00A54222">
              <w:rPr>
                <w:rFonts w:ascii="Arial" w:eastAsia="Arial" w:hAnsi="Arial" w:cs="Arial"/>
                <w:sz w:val="20"/>
              </w:rPr>
              <w:t>Društveno-humanističko područje</w:t>
            </w:r>
          </w:p>
        </w:tc>
        <w:tc>
          <w:tcPr>
            <w:tcW w:w="2376" w:type="dxa"/>
          </w:tcPr>
          <w:p w14:paraId="7E779B70" w14:textId="77777777" w:rsidR="00076856" w:rsidRPr="00A54222" w:rsidRDefault="00DE4299" w:rsidP="00756C58">
            <w:pPr>
              <w:spacing w:line="360" w:lineRule="auto"/>
              <w:jc w:val="right"/>
              <w:rPr>
                <w:rFonts w:ascii="Arial" w:eastAsia="Arial" w:hAnsi="Arial" w:cs="Arial"/>
                <w:sz w:val="20"/>
              </w:rPr>
            </w:pPr>
            <w:r w:rsidRPr="00A54222">
              <w:rPr>
                <w:rFonts w:ascii="Arial" w:eastAsia="Arial" w:hAnsi="Arial" w:cs="Arial"/>
                <w:sz w:val="20"/>
              </w:rPr>
              <w:t>872</w:t>
            </w:r>
          </w:p>
        </w:tc>
        <w:tc>
          <w:tcPr>
            <w:tcW w:w="2551" w:type="dxa"/>
            <w:tcBorders>
              <w:right w:val="single" w:sz="12" w:space="0" w:color="000000"/>
            </w:tcBorders>
          </w:tcPr>
          <w:p w14:paraId="4D930981" w14:textId="77777777" w:rsidR="00076856" w:rsidRPr="00A54222" w:rsidRDefault="00DE4299" w:rsidP="00756C58">
            <w:pPr>
              <w:spacing w:line="360" w:lineRule="auto"/>
              <w:jc w:val="right"/>
              <w:rPr>
                <w:rFonts w:ascii="Arial" w:eastAsia="Arial" w:hAnsi="Arial" w:cs="Arial"/>
                <w:sz w:val="20"/>
              </w:rPr>
            </w:pPr>
            <w:r w:rsidRPr="00A54222">
              <w:rPr>
                <w:rFonts w:ascii="Arial" w:eastAsia="Arial" w:hAnsi="Arial" w:cs="Arial"/>
                <w:sz w:val="20"/>
              </w:rPr>
              <w:t>613</w:t>
            </w:r>
          </w:p>
        </w:tc>
      </w:tr>
      <w:tr w:rsidR="00076856" w:rsidRPr="00A54222" w14:paraId="0EFB2C6B" w14:textId="77777777">
        <w:trPr>
          <w:trHeight w:val="425"/>
        </w:trPr>
        <w:tc>
          <w:tcPr>
            <w:tcW w:w="4253" w:type="dxa"/>
            <w:tcBorders>
              <w:top w:val="single" w:sz="12" w:space="0" w:color="000000"/>
              <w:left w:val="single" w:sz="12" w:space="0" w:color="000000"/>
              <w:bottom w:val="single" w:sz="12" w:space="0" w:color="000000"/>
            </w:tcBorders>
            <w:shd w:val="clear" w:color="auto" w:fill="D9D9D9"/>
            <w:vAlign w:val="center"/>
          </w:tcPr>
          <w:p w14:paraId="694517C0" w14:textId="77777777" w:rsidR="00076856" w:rsidRPr="00A54222" w:rsidRDefault="00DE4299" w:rsidP="00756C58">
            <w:pPr>
              <w:spacing w:line="360" w:lineRule="auto"/>
              <w:rPr>
                <w:rFonts w:ascii="Arial" w:eastAsia="Arial" w:hAnsi="Arial" w:cs="Arial"/>
                <w:sz w:val="20"/>
              </w:rPr>
            </w:pPr>
            <w:r w:rsidRPr="00A54222">
              <w:rPr>
                <w:rFonts w:ascii="Arial" w:eastAsia="Arial" w:hAnsi="Arial" w:cs="Arial"/>
                <w:sz w:val="20"/>
              </w:rPr>
              <w:t>Ukupno</w:t>
            </w:r>
          </w:p>
        </w:tc>
        <w:tc>
          <w:tcPr>
            <w:tcW w:w="2376" w:type="dxa"/>
            <w:tcBorders>
              <w:top w:val="single" w:sz="12" w:space="0" w:color="000000"/>
              <w:bottom w:val="single" w:sz="12" w:space="0" w:color="000000"/>
            </w:tcBorders>
            <w:shd w:val="clear" w:color="auto" w:fill="D9D9D9"/>
            <w:vAlign w:val="center"/>
          </w:tcPr>
          <w:p w14:paraId="1AAD1604" w14:textId="77777777" w:rsidR="00076856" w:rsidRPr="00A54222" w:rsidRDefault="00DE4299" w:rsidP="00756C58">
            <w:pPr>
              <w:spacing w:line="360" w:lineRule="auto"/>
              <w:jc w:val="right"/>
              <w:rPr>
                <w:rFonts w:ascii="Arial" w:eastAsia="Arial" w:hAnsi="Arial" w:cs="Arial"/>
                <w:sz w:val="20"/>
              </w:rPr>
            </w:pPr>
            <w:r w:rsidRPr="00A54222">
              <w:rPr>
                <w:rFonts w:ascii="Arial" w:eastAsia="Arial" w:hAnsi="Arial" w:cs="Arial"/>
                <w:sz w:val="20"/>
              </w:rPr>
              <w:t>1423</w:t>
            </w:r>
          </w:p>
        </w:tc>
        <w:tc>
          <w:tcPr>
            <w:tcW w:w="2551" w:type="dxa"/>
            <w:tcBorders>
              <w:top w:val="single" w:sz="12" w:space="0" w:color="000000"/>
              <w:bottom w:val="single" w:sz="12" w:space="0" w:color="000000"/>
              <w:right w:val="single" w:sz="12" w:space="0" w:color="000000"/>
            </w:tcBorders>
            <w:shd w:val="clear" w:color="auto" w:fill="D9D9D9"/>
            <w:vAlign w:val="center"/>
          </w:tcPr>
          <w:p w14:paraId="7D325531" w14:textId="77777777" w:rsidR="00076856" w:rsidRPr="00A54222" w:rsidRDefault="00DE4299" w:rsidP="00756C58">
            <w:pPr>
              <w:spacing w:line="360" w:lineRule="auto"/>
              <w:jc w:val="right"/>
              <w:rPr>
                <w:rFonts w:ascii="Arial" w:eastAsia="Arial" w:hAnsi="Arial" w:cs="Arial"/>
                <w:sz w:val="20"/>
              </w:rPr>
            </w:pPr>
            <w:r w:rsidRPr="00A54222">
              <w:rPr>
                <w:rFonts w:ascii="Arial" w:eastAsia="Arial" w:hAnsi="Arial" w:cs="Arial"/>
                <w:sz w:val="20"/>
              </w:rPr>
              <w:t>100,0</w:t>
            </w:r>
          </w:p>
        </w:tc>
      </w:tr>
    </w:tbl>
    <w:p w14:paraId="54E3C2D6" w14:textId="77777777" w:rsidR="00076856" w:rsidRDefault="00076856" w:rsidP="00756C58">
      <w:pPr>
        <w:pBdr>
          <w:top w:val="nil"/>
          <w:left w:val="nil"/>
          <w:bottom w:val="nil"/>
          <w:right w:val="nil"/>
          <w:between w:val="nil"/>
        </w:pBdr>
        <w:spacing w:line="360" w:lineRule="auto"/>
        <w:rPr>
          <w:rFonts w:ascii="Arial" w:eastAsia="Arial" w:hAnsi="Arial" w:cs="Arial"/>
          <w:b/>
        </w:rPr>
      </w:pPr>
    </w:p>
    <w:p w14:paraId="40B66DE6" w14:textId="77777777" w:rsidR="00076856" w:rsidRDefault="00076856" w:rsidP="00756C58">
      <w:pPr>
        <w:spacing w:before="240" w:after="240" w:line="360" w:lineRule="auto"/>
        <w:rPr>
          <w:rFonts w:ascii="Arial" w:eastAsia="Arial" w:hAnsi="Arial" w:cs="Arial"/>
        </w:rPr>
      </w:pPr>
    </w:p>
    <w:p w14:paraId="31A2E872" w14:textId="77777777" w:rsidR="00DE4299" w:rsidRDefault="00DE4299" w:rsidP="00756C58">
      <w:pPr>
        <w:pStyle w:val="Heading2"/>
        <w:numPr>
          <w:ilvl w:val="1"/>
          <w:numId w:val="1"/>
        </w:numPr>
        <w:spacing w:line="360" w:lineRule="auto"/>
        <w:ind w:firstLine="0"/>
        <w:rPr>
          <w:rFonts w:ascii="Arial" w:eastAsia="Arial" w:hAnsi="Arial" w:cs="Arial"/>
          <w:sz w:val="24"/>
          <w:szCs w:val="24"/>
        </w:rPr>
      </w:pPr>
      <w:bookmarkStart w:id="17" w:name="_heading=h.a2dokkllvwwk" w:colFirst="0" w:colLast="0"/>
      <w:bookmarkEnd w:id="17"/>
      <w:r>
        <w:rPr>
          <w:rFonts w:ascii="Arial" w:eastAsia="Arial" w:hAnsi="Arial" w:cs="Arial"/>
          <w:sz w:val="24"/>
          <w:szCs w:val="24"/>
        </w:rPr>
        <w:br w:type="page"/>
      </w:r>
    </w:p>
    <w:p w14:paraId="51BC39BA" w14:textId="77777777" w:rsidR="00076856" w:rsidRDefault="00DF5A02" w:rsidP="00756C58">
      <w:pPr>
        <w:pStyle w:val="Heading2"/>
        <w:spacing w:line="360" w:lineRule="auto"/>
        <w:ind w:left="720"/>
        <w:rPr>
          <w:rFonts w:ascii="Arial" w:eastAsia="Arial" w:hAnsi="Arial" w:cs="Arial"/>
          <w:sz w:val="24"/>
          <w:szCs w:val="24"/>
        </w:rPr>
      </w:pPr>
      <w:bookmarkStart w:id="18" w:name="_Toc75635801"/>
      <w:r>
        <w:rPr>
          <w:rFonts w:ascii="Arial" w:eastAsia="Arial" w:hAnsi="Arial" w:cs="Arial"/>
          <w:sz w:val="24"/>
          <w:szCs w:val="24"/>
        </w:rPr>
        <w:lastRenderedPageBreak/>
        <w:t xml:space="preserve">5.2. </w:t>
      </w:r>
      <w:r w:rsidR="001C6B46">
        <w:rPr>
          <w:rFonts w:ascii="Arial" w:eastAsia="Arial" w:hAnsi="Arial" w:cs="Arial"/>
          <w:sz w:val="24"/>
          <w:szCs w:val="24"/>
        </w:rPr>
        <w:tab/>
      </w:r>
      <w:r w:rsidR="00DE4299">
        <w:rPr>
          <w:rFonts w:ascii="Arial" w:eastAsia="Arial" w:hAnsi="Arial" w:cs="Arial"/>
          <w:sz w:val="24"/>
          <w:szCs w:val="24"/>
        </w:rPr>
        <w:t>Rezultati na Fagerströmovoj skali za cijeli uzorak i statistički značajne razlike</w:t>
      </w:r>
      <w:bookmarkEnd w:id="18"/>
    </w:p>
    <w:p w14:paraId="3CFF6605" w14:textId="77777777" w:rsidR="00076856" w:rsidRDefault="00DE4299" w:rsidP="00756C58">
      <w:pPr>
        <w:spacing w:line="360" w:lineRule="auto"/>
        <w:jc w:val="center"/>
        <w:rPr>
          <w:rFonts w:ascii="Arial" w:eastAsia="Arial" w:hAnsi="Arial" w:cs="Arial"/>
          <w:i/>
        </w:rPr>
      </w:pPr>
      <w:r>
        <w:rPr>
          <w:rFonts w:ascii="Arial" w:eastAsia="Arial" w:hAnsi="Arial" w:cs="Arial"/>
          <w:i/>
          <w:noProof/>
        </w:rPr>
        <w:drawing>
          <wp:inline distT="114300" distB="114300" distL="114300" distR="114300" wp14:anchorId="749FCA6E" wp14:editId="089A554C">
            <wp:extent cx="4433302" cy="1899285"/>
            <wp:effectExtent l="0" t="0" r="5715" b="5715"/>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l="7522" t="13708" r="36056" b="26387"/>
                    <a:stretch>
                      <a:fillRect/>
                    </a:stretch>
                  </pic:blipFill>
                  <pic:spPr>
                    <a:xfrm>
                      <a:off x="0" y="0"/>
                      <a:ext cx="4481159" cy="1919788"/>
                    </a:xfrm>
                    <a:prstGeom prst="rect">
                      <a:avLst/>
                    </a:prstGeom>
                    <a:ln/>
                  </pic:spPr>
                </pic:pic>
              </a:graphicData>
            </a:graphic>
          </wp:inline>
        </w:drawing>
      </w:r>
    </w:p>
    <w:p w14:paraId="2CF9924D" w14:textId="77777777" w:rsidR="00076856" w:rsidRPr="00A54222" w:rsidRDefault="00DE4299" w:rsidP="00756C58">
      <w:pPr>
        <w:spacing w:line="360" w:lineRule="auto"/>
        <w:ind w:left="2160" w:hanging="2160"/>
        <w:rPr>
          <w:rFonts w:ascii="Arial" w:eastAsia="Arial" w:hAnsi="Arial" w:cs="Arial"/>
          <w:i/>
          <w:sz w:val="20"/>
        </w:rPr>
      </w:pPr>
      <w:r w:rsidRPr="00A54222">
        <w:rPr>
          <w:rFonts w:ascii="Arial" w:eastAsia="Arial" w:hAnsi="Arial" w:cs="Arial"/>
          <w:b/>
          <w:i/>
          <w:sz w:val="20"/>
        </w:rPr>
        <w:t>Grafički prikaz 1.</w:t>
      </w:r>
      <w:r w:rsidRPr="00A54222">
        <w:rPr>
          <w:rFonts w:ascii="Arial" w:eastAsia="Arial" w:hAnsi="Arial" w:cs="Arial"/>
          <w:b/>
          <w:i/>
          <w:sz w:val="20"/>
        </w:rPr>
        <w:tab/>
      </w:r>
      <w:r w:rsidRPr="00A54222">
        <w:rPr>
          <w:rFonts w:ascii="Arial" w:eastAsia="Arial" w:hAnsi="Arial" w:cs="Arial"/>
          <w:i/>
          <w:sz w:val="20"/>
        </w:rPr>
        <w:t xml:space="preserve">Rezultati (u postotcima) na skali nikotinske ovisnosti prema Fagerströmovoj skali </w:t>
      </w:r>
    </w:p>
    <w:p w14:paraId="7D6E6E8F" w14:textId="77777777" w:rsidR="00076856" w:rsidRPr="00A54222" w:rsidRDefault="00076856" w:rsidP="00756C58">
      <w:pPr>
        <w:spacing w:line="360" w:lineRule="auto"/>
        <w:rPr>
          <w:rFonts w:ascii="Arial" w:eastAsia="Arial" w:hAnsi="Arial" w:cs="Arial"/>
          <w:sz w:val="20"/>
        </w:rPr>
      </w:pPr>
    </w:p>
    <w:p w14:paraId="109454F2" w14:textId="77777777" w:rsidR="00076856" w:rsidRPr="00A54222" w:rsidRDefault="00DE4299" w:rsidP="00756C58">
      <w:pPr>
        <w:spacing w:line="360" w:lineRule="auto"/>
        <w:jc w:val="both"/>
        <w:rPr>
          <w:rFonts w:ascii="Arial" w:eastAsia="Arial" w:hAnsi="Arial" w:cs="Arial"/>
          <w:sz w:val="20"/>
        </w:rPr>
      </w:pPr>
      <w:r w:rsidRPr="00A54222">
        <w:rPr>
          <w:rFonts w:ascii="Arial" w:eastAsia="Arial" w:hAnsi="Arial" w:cs="Arial"/>
          <w:sz w:val="20"/>
        </w:rPr>
        <w:t xml:space="preserve">Ispitanici prema Fageströmovoj skali većinom pripadaju kategoriji “slabe nikotinske ovisnosti“ (61,6%). Drugoj kategoriji “slaba do srednja ovisnost ” pripada 24,6% ispitanika, dok kategoriji “srednja do teška ovisnost” pripada 12,9% ispitanika. Najmanji dio ispitanika (0,9%) pripada četvrtoj kategoriji ”teške ovisnosti“.  </w:t>
      </w:r>
    </w:p>
    <w:p w14:paraId="258B7818" w14:textId="77777777" w:rsidR="00076856" w:rsidRPr="00A54222" w:rsidRDefault="00DE4299" w:rsidP="00756C58">
      <w:pPr>
        <w:spacing w:line="360" w:lineRule="auto"/>
        <w:jc w:val="both"/>
        <w:rPr>
          <w:rFonts w:ascii="Arial" w:eastAsia="Arial" w:hAnsi="Arial" w:cs="Arial"/>
          <w:sz w:val="20"/>
        </w:rPr>
      </w:pPr>
      <w:r w:rsidRPr="00A54222">
        <w:rPr>
          <w:rFonts w:ascii="Arial" w:eastAsia="Arial" w:hAnsi="Arial" w:cs="Arial"/>
          <w:sz w:val="20"/>
        </w:rPr>
        <w:t>Prilikom testiranja statističke značajnosti razlika između spola, tipa studija i područja studija, statistički značajne razlike pronađene su između studenata medicine i ostalih studenata (ꭓ</w:t>
      </w:r>
      <w:r w:rsidRPr="00A54222">
        <w:rPr>
          <w:rFonts w:ascii="Arial" w:eastAsia="Arial" w:hAnsi="Arial" w:cs="Arial"/>
          <w:sz w:val="20"/>
          <w:vertAlign w:val="superscript"/>
        </w:rPr>
        <w:t>2</w:t>
      </w:r>
      <w:r w:rsidRPr="00A54222">
        <w:rPr>
          <w:rFonts w:ascii="Arial" w:eastAsia="Arial" w:hAnsi="Arial" w:cs="Arial"/>
          <w:sz w:val="20"/>
        </w:rPr>
        <w:t>= 11,306; df = 3; P = 0,010; V = 0,089) i između područja studija (ꭓ</w:t>
      </w:r>
      <w:r w:rsidRPr="00A54222">
        <w:rPr>
          <w:rFonts w:ascii="Arial" w:eastAsia="Arial" w:hAnsi="Arial" w:cs="Arial"/>
          <w:sz w:val="20"/>
          <w:vertAlign w:val="superscript"/>
        </w:rPr>
        <w:t>2</w:t>
      </w:r>
      <w:r w:rsidRPr="00A54222">
        <w:rPr>
          <w:rFonts w:ascii="Arial" w:eastAsia="Arial" w:hAnsi="Arial" w:cs="Arial"/>
          <w:sz w:val="20"/>
        </w:rPr>
        <w:t>= 12,751; df = 6; P = 0, 047;     V = 0,067). Oko dvije trećine studenata biomedicinskog područja pripada kategoriji “slabe nikotinske ovisnosti“ (67,6 %). Drugoj kategoriji “slaba do srednje teška ovisnost” pripada otprilike jedna petina studenata biomedicinskog područja (22,2%) dok trećoj kategoriji “srednje teška do teška ovisnost”  otprilike jedna desetina (9,5%). Kategoriji najteže nikotinske ovisnosti pripada 0,7% studenata biomedicinskog područja. U umjetničkom području studenti imaju tendenciju pripadanju u kategorije višeg stupnja nikotinske ovisnosti. Prvoj kategoriji pripada 62,4 %, drugoj 21,1%, trećoj 15,6% a četvrtoj 0,9% studenata umjetničkog područja. Studenti iz društveno-humanističkog područja iskazali su najtežu nikotinsku ovisnost prema Fagerströmovoj skali.  Prvoj kategoriji pripada 58,5 %, drugoj 26,3%, trećoj 14,2% a četvrtoj 1% studenata društveno-humanističkog područja. (Grafički prikaz br.2)</w:t>
      </w:r>
    </w:p>
    <w:p w14:paraId="728B02B0" w14:textId="77777777" w:rsidR="00076856" w:rsidRDefault="00076856" w:rsidP="00756C58">
      <w:pPr>
        <w:spacing w:line="360" w:lineRule="auto"/>
        <w:rPr>
          <w:rFonts w:ascii="Times New Roman" w:eastAsia="Times New Roman" w:hAnsi="Times New Roman" w:cs="Times New Roman"/>
        </w:rPr>
      </w:pPr>
    </w:p>
    <w:p w14:paraId="59F30F33" w14:textId="77777777" w:rsidR="00076856" w:rsidRDefault="00DE4299" w:rsidP="00756C58">
      <w:pPr>
        <w:spacing w:line="360" w:lineRule="auto"/>
        <w:jc w:val="center"/>
        <w:rPr>
          <w:rFonts w:ascii="Times New Roman" w:eastAsia="Times New Roman" w:hAnsi="Times New Roman" w:cs="Times New Roman"/>
        </w:rPr>
      </w:pPr>
      <w:r>
        <w:rPr>
          <w:rFonts w:ascii="Times New Roman" w:eastAsia="Times New Roman" w:hAnsi="Times New Roman" w:cs="Times New Roman"/>
          <w:noProof/>
        </w:rPr>
        <w:lastRenderedPageBreak/>
        <w:drawing>
          <wp:inline distT="114300" distB="114300" distL="114300" distR="114300" wp14:anchorId="12647EA1" wp14:editId="345AA2E2">
            <wp:extent cx="5734050" cy="3371850"/>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5734050" cy="3371850"/>
                    </a:xfrm>
                    <a:prstGeom prst="rect">
                      <a:avLst/>
                    </a:prstGeom>
                    <a:ln/>
                  </pic:spPr>
                </pic:pic>
              </a:graphicData>
            </a:graphic>
          </wp:inline>
        </w:drawing>
      </w:r>
    </w:p>
    <w:p w14:paraId="5C9AFBB4" w14:textId="77777777" w:rsidR="00076856" w:rsidRPr="00A54222" w:rsidRDefault="00DE4299" w:rsidP="00756C58">
      <w:pPr>
        <w:spacing w:before="240" w:after="240" w:line="360" w:lineRule="auto"/>
        <w:ind w:left="2160" w:hanging="2160"/>
        <w:rPr>
          <w:rFonts w:ascii="Arial" w:eastAsia="Arial" w:hAnsi="Arial" w:cs="Arial"/>
          <w:i/>
          <w:sz w:val="20"/>
        </w:rPr>
      </w:pPr>
      <w:r w:rsidRPr="00A54222">
        <w:rPr>
          <w:rFonts w:ascii="Arial" w:eastAsia="Arial" w:hAnsi="Arial" w:cs="Arial"/>
          <w:b/>
          <w:i/>
          <w:sz w:val="20"/>
        </w:rPr>
        <w:t>Grafički prikaz 2</w:t>
      </w:r>
      <w:r w:rsidRPr="00A54222">
        <w:rPr>
          <w:rFonts w:ascii="Arial" w:eastAsia="Arial" w:hAnsi="Arial" w:cs="Arial"/>
          <w:i/>
          <w:sz w:val="20"/>
        </w:rPr>
        <w:t>.</w:t>
      </w:r>
      <w:r w:rsidRPr="00A54222">
        <w:rPr>
          <w:rFonts w:ascii="Arial" w:eastAsia="Arial" w:hAnsi="Arial" w:cs="Arial"/>
          <w:i/>
          <w:sz w:val="20"/>
        </w:rPr>
        <w:tab/>
        <w:t>Razina nikotinske ovisnosti prema Fagerströmovoj skali te razlike s obzirom na područje studija</w:t>
      </w:r>
    </w:p>
    <w:p w14:paraId="40B722F9" w14:textId="77777777" w:rsidR="00076856" w:rsidRPr="00A54222" w:rsidRDefault="00076856" w:rsidP="00756C58">
      <w:pPr>
        <w:spacing w:before="240" w:after="240" w:line="360" w:lineRule="auto"/>
        <w:ind w:left="2160" w:hanging="2160"/>
        <w:rPr>
          <w:rFonts w:ascii="Arial" w:eastAsia="Arial" w:hAnsi="Arial" w:cs="Arial"/>
          <w:i/>
          <w:sz w:val="20"/>
        </w:rPr>
      </w:pPr>
    </w:p>
    <w:p w14:paraId="4CC58A97" w14:textId="4349174F" w:rsidR="00076856" w:rsidRPr="00A54222" w:rsidRDefault="00DE4299" w:rsidP="00756C58">
      <w:pPr>
        <w:spacing w:before="240" w:after="240" w:line="360" w:lineRule="auto"/>
        <w:jc w:val="both"/>
        <w:rPr>
          <w:rFonts w:ascii="Arial" w:eastAsia="Arial" w:hAnsi="Arial" w:cs="Arial"/>
          <w:sz w:val="20"/>
        </w:rPr>
      </w:pPr>
      <w:r w:rsidRPr="00A54222">
        <w:rPr>
          <w:rFonts w:ascii="Arial" w:eastAsia="Arial" w:hAnsi="Arial" w:cs="Arial"/>
          <w:sz w:val="20"/>
        </w:rPr>
        <w:t xml:space="preserve">Pri analizi razlika u kategorijama ovisnosti po spolu, nađene su razlike između studenata i studentica, međutim, one se nisu pokazale statistički značajnima </w:t>
      </w:r>
      <w:r w:rsidRPr="00A54222">
        <w:rPr>
          <w:rFonts w:ascii="Arial" w:eastAsia="Arial" w:hAnsi="Arial" w:cs="Arial"/>
          <w:szCs w:val="24"/>
        </w:rPr>
        <w:t>(</w:t>
      </w:r>
      <w:r w:rsidR="00FE55B1" w:rsidRPr="00A54222">
        <w:rPr>
          <w:rFonts w:ascii="Arial" w:eastAsia="Arial" w:hAnsi="Arial" w:cs="Arial"/>
          <w:szCs w:val="24"/>
        </w:rPr>
        <w:t xml:space="preserve"> </w:t>
      </w:r>
      <w:r w:rsidRPr="00A54222">
        <w:rPr>
          <w:rFonts w:ascii="Arial" w:eastAsia="Arial" w:hAnsi="Arial" w:cs="Arial"/>
          <w:szCs w:val="24"/>
          <w:vertAlign w:val="superscript"/>
        </w:rPr>
        <w:t xml:space="preserve">2 </w:t>
      </w:r>
      <w:r w:rsidRPr="00A54222">
        <w:rPr>
          <w:rFonts w:ascii="Arial" w:eastAsia="Arial" w:hAnsi="Arial" w:cs="Arial"/>
          <w:szCs w:val="24"/>
        </w:rPr>
        <w:t>= 4,034; df = 3;  P = 0,258)</w:t>
      </w:r>
      <w:r w:rsidRPr="00A54222">
        <w:rPr>
          <w:rFonts w:ascii="Arial" w:eastAsia="Arial" w:hAnsi="Arial" w:cs="Arial"/>
          <w:sz w:val="20"/>
        </w:rPr>
        <w:t xml:space="preserve">. Ni razlike po gradovima nisu se pokazale statistički značajnima </w:t>
      </w:r>
      <w:r w:rsidRPr="00A54222">
        <w:rPr>
          <w:rFonts w:ascii="Arial" w:eastAsia="Arial" w:hAnsi="Arial" w:cs="Arial"/>
          <w:szCs w:val="24"/>
        </w:rPr>
        <w:t>(ꭓ</w:t>
      </w:r>
      <w:r w:rsidRPr="00A54222">
        <w:rPr>
          <w:rFonts w:ascii="Arial" w:eastAsia="Arial" w:hAnsi="Arial" w:cs="Arial"/>
          <w:szCs w:val="24"/>
          <w:vertAlign w:val="superscript"/>
        </w:rPr>
        <w:t>2</w:t>
      </w:r>
      <w:r w:rsidRPr="00A54222">
        <w:rPr>
          <w:rFonts w:ascii="Arial" w:eastAsia="Arial" w:hAnsi="Arial" w:cs="Arial"/>
          <w:szCs w:val="24"/>
        </w:rPr>
        <w:t>= 5,390; df = 6; P = 0,495)</w:t>
      </w:r>
      <w:r w:rsidRPr="00A54222">
        <w:rPr>
          <w:rFonts w:ascii="Arial" w:eastAsia="Arial" w:hAnsi="Arial" w:cs="Arial"/>
          <w:sz w:val="20"/>
        </w:rPr>
        <w:t>.</w:t>
      </w:r>
    </w:p>
    <w:p w14:paraId="51629E6B" w14:textId="77777777" w:rsidR="00076856" w:rsidRDefault="00076856" w:rsidP="00756C58">
      <w:pPr>
        <w:spacing w:line="360" w:lineRule="auto"/>
      </w:pPr>
      <w:bookmarkStart w:id="19" w:name="_heading=h.je18hscrzctd" w:colFirst="0" w:colLast="0"/>
      <w:bookmarkEnd w:id="19"/>
    </w:p>
    <w:p w14:paraId="4F64475C" w14:textId="77777777" w:rsidR="00076856" w:rsidRDefault="00DE4299" w:rsidP="00756C58">
      <w:pPr>
        <w:pStyle w:val="Heading2"/>
        <w:numPr>
          <w:ilvl w:val="1"/>
          <w:numId w:val="1"/>
        </w:numPr>
        <w:spacing w:before="240" w:after="240" w:line="360" w:lineRule="auto"/>
        <w:ind w:firstLine="0"/>
        <w:jc w:val="both"/>
        <w:rPr>
          <w:rFonts w:ascii="Arial" w:eastAsia="Arial" w:hAnsi="Arial" w:cs="Arial"/>
          <w:sz w:val="24"/>
          <w:szCs w:val="24"/>
        </w:rPr>
      </w:pPr>
      <w:bookmarkStart w:id="20" w:name="_heading=h.c4umzbcqccos" w:colFirst="0" w:colLast="0"/>
      <w:bookmarkStart w:id="21" w:name="_Toc75635802"/>
      <w:bookmarkEnd w:id="20"/>
      <w:r>
        <w:rPr>
          <w:rFonts w:ascii="Arial" w:eastAsia="Arial" w:hAnsi="Arial" w:cs="Arial"/>
          <w:sz w:val="24"/>
          <w:szCs w:val="24"/>
        </w:rPr>
        <w:t>Prvo pitanje:  Koliko brzo nakon ustajanja popušite prvu jutarnju cigaretu?</w:t>
      </w:r>
      <w:bookmarkEnd w:id="21"/>
      <w:r>
        <w:rPr>
          <w:rFonts w:ascii="Arial" w:eastAsia="Arial" w:hAnsi="Arial" w:cs="Arial"/>
          <w:sz w:val="24"/>
          <w:szCs w:val="24"/>
        </w:rPr>
        <w:t xml:space="preserve"> </w:t>
      </w:r>
    </w:p>
    <w:p w14:paraId="5512821E" w14:textId="740D3705" w:rsidR="00076856" w:rsidRDefault="00DE4299" w:rsidP="00756C58">
      <w:pPr>
        <w:spacing w:before="240" w:after="240" w:line="360" w:lineRule="auto"/>
        <w:jc w:val="both"/>
        <w:rPr>
          <w:rFonts w:ascii="Arial" w:eastAsia="Arial" w:hAnsi="Arial" w:cs="Arial"/>
        </w:rPr>
      </w:pPr>
      <w:r w:rsidRPr="00A54222">
        <w:rPr>
          <w:rFonts w:ascii="Arial" w:eastAsia="Arial" w:hAnsi="Arial" w:cs="Arial"/>
          <w:sz w:val="20"/>
        </w:rPr>
        <w:t>U odgovorima na pitanje  „Koliko brzo nakon ustajanja popušite jutarnju cigaretu?“ nađene su statistički značajne razlike između studenata medicine i studenata ne-medicinskih područja</w:t>
      </w:r>
      <w:r w:rsidR="00EF0A77">
        <w:rPr>
          <w:rFonts w:ascii="Arial" w:eastAsia="Arial" w:hAnsi="Arial" w:cs="Arial"/>
          <w:sz w:val="20"/>
        </w:rPr>
        <w:t xml:space="preserve"> </w:t>
      </w:r>
      <w:r w:rsidRPr="00A54222">
        <w:rPr>
          <w:rFonts w:ascii="Arial" w:eastAsia="Arial" w:hAnsi="Arial" w:cs="Arial"/>
          <w:sz w:val="20"/>
        </w:rPr>
        <w:t>(ꭓ</w:t>
      </w:r>
      <w:r w:rsidRPr="00A54222">
        <w:rPr>
          <w:rFonts w:ascii="Arial" w:eastAsia="Arial" w:hAnsi="Arial" w:cs="Arial"/>
          <w:sz w:val="20"/>
          <w:vertAlign w:val="superscript"/>
        </w:rPr>
        <w:t xml:space="preserve">2 </w:t>
      </w:r>
      <w:r w:rsidRPr="00A54222">
        <w:rPr>
          <w:rFonts w:ascii="Arial" w:eastAsia="Arial" w:hAnsi="Arial" w:cs="Arial"/>
          <w:sz w:val="20"/>
        </w:rPr>
        <w:t xml:space="preserve">= 13,016; df = 2; P = 0,001; V = 0,096). Dok kod studenata medicine 22,4% popuši prvu jutarnju cigaretu unutar 30 minuta nakon ustajanja, kod studenata ne-medicinskih područja taj je postotak viši i iznosi 31%. Razlika između studenata medicine i studenata ne-medicinskih područja koji popuše prvu jutarnju cigaretu unutar 5 minuta nakon buđenja iznosi 0,2% (4,8% ispitivanih studenata medicine naspram 4,6% studenata ne-medicinskih područja). </w:t>
      </w:r>
    </w:p>
    <w:p w14:paraId="42168FBE" w14:textId="77777777" w:rsidR="00076856" w:rsidRDefault="00DE4299" w:rsidP="00756C58">
      <w:pPr>
        <w:spacing w:before="240" w:after="240" w:line="360" w:lineRule="auto"/>
        <w:jc w:val="center"/>
        <w:rPr>
          <w:rFonts w:ascii="Arial" w:eastAsia="Arial" w:hAnsi="Arial" w:cs="Arial"/>
        </w:rPr>
      </w:pPr>
      <w:r>
        <w:rPr>
          <w:rFonts w:ascii="Arial" w:eastAsia="Arial" w:hAnsi="Arial" w:cs="Arial"/>
          <w:noProof/>
        </w:rPr>
        <w:lastRenderedPageBreak/>
        <w:drawing>
          <wp:inline distT="114300" distB="114300" distL="114300" distR="114300" wp14:anchorId="14277B04" wp14:editId="49A703CC">
            <wp:extent cx="5262563" cy="3519039"/>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l="7659" t="14402" r="42051" b="25815"/>
                    <a:stretch>
                      <a:fillRect/>
                    </a:stretch>
                  </pic:blipFill>
                  <pic:spPr>
                    <a:xfrm>
                      <a:off x="0" y="0"/>
                      <a:ext cx="5262563" cy="3519039"/>
                    </a:xfrm>
                    <a:prstGeom prst="rect">
                      <a:avLst/>
                    </a:prstGeom>
                    <a:ln/>
                  </pic:spPr>
                </pic:pic>
              </a:graphicData>
            </a:graphic>
          </wp:inline>
        </w:drawing>
      </w:r>
    </w:p>
    <w:p w14:paraId="76953381" w14:textId="77777777" w:rsidR="00076856" w:rsidRPr="00A54222" w:rsidRDefault="00DE4299" w:rsidP="00756C58">
      <w:pPr>
        <w:spacing w:before="240" w:after="240" w:line="360" w:lineRule="auto"/>
        <w:ind w:left="2160" w:hanging="2160"/>
        <w:jc w:val="both"/>
        <w:rPr>
          <w:rFonts w:ascii="Arial" w:eastAsia="Arial" w:hAnsi="Arial" w:cs="Arial"/>
          <w:i/>
          <w:sz w:val="20"/>
        </w:rPr>
      </w:pPr>
      <w:r w:rsidRPr="00A54222">
        <w:rPr>
          <w:rFonts w:ascii="Arial" w:eastAsia="Arial" w:hAnsi="Arial" w:cs="Arial"/>
          <w:b/>
          <w:i/>
          <w:sz w:val="20"/>
        </w:rPr>
        <w:t>Grafički prikaz 3.</w:t>
      </w:r>
      <w:r w:rsidRPr="00A54222">
        <w:rPr>
          <w:rFonts w:ascii="Arial" w:eastAsia="Arial" w:hAnsi="Arial" w:cs="Arial"/>
          <w:b/>
          <w:i/>
          <w:sz w:val="20"/>
        </w:rPr>
        <w:tab/>
      </w:r>
      <w:r w:rsidRPr="00A54222">
        <w:rPr>
          <w:rFonts w:ascii="Arial" w:eastAsia="Arial" w:hAnsi="Arial" w:cs="Arial"/>
          <w:i/>
          <w:sz w:val="20"/>
        </w:rPr>
        <w:t>Razlike u odgovorima na prvo pitanje između studenata medicine i studenata ne-medicinskih područja.</w:t>
      </w:r>
    </w:p>
    <w:p w14:paraId="54E5C0A4" w14:textId="77777777" w:rsidR="00076856" w:rsidRPr="00A54222" w:rsidRDefault="00076856" w:rsidP="00756C58">
      <w:pPr>
        <w:spacing w:before="240" w:after="240" w:line="360" w:lineRule="auto"/>
        <w:jc w:val="both"/>
        <w:rPr>
          <w:rFonts w:ascii="Arial" w:eastAsia="Arial" w:hAnsi="Arial" w:cs="Arial"/>
          <w:sz w:val="20"/>
        </w:rPr>
      </w:pPr>
    </w:p>
    <w:p w14:paraId="0D1C3942" w14:textId="77777777" w:rsidR="00076856" w:rsidRPr="00A54222" w:rsidRDefault="00DE4299" w:rsidP="00756C58">
      <w:pPr>
        <w:spacing w:before="240" w:after="240" w:line="360" w:lineRule="auto"/>
        <w:jc w:val="both"/>
        <w:rPr>
          <w:rFonts w:ascii="Arial" w:eastAsia="Arial" w:hAnsi="Arial" w:cs="Arial"/>
          <w:sz w:val="20"/>
        </w:rPr>
      </w:pPr>
      <w:r w:rsidRPr="00A54222">
        <w:rPr>
          <w:rFonts w:ascii="Arial" w:eastAsia="Arial" w:hAnsi="Arial" w:cs="Arial"/>
          <w:sz w:val="20"/>
        </w:rPr>
        <w:t>Statistički značajna razlika postoji također između studenata različitih područja (ꭓ</w:t>
      </w:r>
      <w:r w:rsidRPr="00A54222">
        <w:rPr>
          <w:rFonts w:ascii="Arial" w:eastAsia="Arial" w:hAnsi="Arial" w:cs="Arial"/>
          <w:sz w:val="20"/>
          <w:vertAlign w:val="superscript"/>
        </w:rPr>
        <w:t>2</w:t>
      </w:r>
      <w:r w:rsidRPr="00A54222">
        <w:rPr>
          <w:rFonts w:ascii="Arial" w:eastAsia="Arial" w:hAnsi="Arial" w:cs="Arial"/>
          <w:sz w:val="20"/>
        </w:rPr>
        <w:t>= 13,762; df = 4; P = 0,010; V = 0,015), ali prilikom interpretacije može se zaključiti da je ona statistički značajna zbog razlike koja postoji među studentima medicine i ostalih studenata, tj. razlika između studenata umjetničkog i društvenog-humanističkog područja gotovo da ne postoji. (Tablica 5. )</w:t>
      </w:r>
    </w:p>
    <w:p w14:paraId="0ECD5F1D" w14:textId="77777777" w:rsidR="00076856" w:rsidRDefault="00076856" w:rsidP="00756C58">
      <w:pPr>
        <w:spacing w:before="240" w:after="240" w:line="360" w:lineRule="auto"/>
        <w:rPr>
          <w:rFonts w:ascii="Arial" w:eastAsia="Arial" w:hAnsi="Arial" w:cs="Arial"/>
          <w:b/>
        </w:rPr>
      </w:pPr>
    </w:p>
    <w:p w14:paraId="77C68F9B" w14:textId="77777777" w:rsidR="00076856" w:rsidRDefault="00DE4299" w:rsidP="00756C58">
      <w:pPr>
        <w:spacing w:line="360" w:lineRule="auto"/>
        <w:rPr>
          <w:rFonts w:ascii="Arial" w:eastAsia="Arial" w:hAnsi="Arial" w:cs="Arial"/>
          <w:b/>
        </w:rPr>
      </w:pPr>
      <w:r>
        <w:br w:type="page"/>
      </w:r>
    </w:p>
    <w:p w14:paraId="178036BB" w14:textId="77777777" w:rsidR="00076856" w:rsidRPr="00A54222" w:rsidRDefault="00DE4299" w:rsidP="00756C58">
      <w:pPr>
        <w:spacing w:before="240" w:after="240" w:line="360" w:lineRule="auto"/>
        <w:rPr>
          <w:rFonts w:ascii="Arial" w:eastAsia="Arial" w:hAnsi="Arial" w:cs="Arial"/>
          <w:sz w:val="20"/>
        </w:rPr>
      </w:pPr>
      <w:r w:rsidRPr="00A54222">
        <w:rPr>
          <w:rFonts w:ascii="Arial" w:eastAsia="Arial" w:hAnsi="Arial" w:cs="Arial"/>
          <w:b/>
          <w:sz w:val="20"/>
        </w:rPr>
        <w:lastRenderedPageBreak/>
        <w:t>Tablica 5.</w:t>
      </w:r>
      <w:r w:rsidRPr="00A54222">
        <w:rPr>
          <w:rFonts w:ascii="Arial" w:eastAsia="Arial" w:hAnsi="Arial" w:cs="Arial"/>
          <w:sz w:val="20"/>
        </w:rPr>
        <w:tab/>
        <w:t xml:space="preserve">Raspodjela ispitanika prema odgovorima na prvo pitanje te područje studija </w:t>
      </w:r>
    </w:p>
    <w:tbl>
      <w:tblPr>
        <w:tblStyle w:val="af7"/>
        <w:tblW w:w="8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9"/>
        <w:gridCol w:w="1417"/>
        <w:gridCol w:w="1134"/>
        <w:gridCol w:w="1134"/>
        <w:gridCol w:w="1134"/>
        <w:gridCol w:w="1134"/>
      </w:tblGrid>
      <w:tr w:rsidR="00076856" w:rsidRPr="00A701FA" w14:paraId="52094670" w14:textId="77777777">
        <w:trPr>
          <w:trHeight w:val="992"/>
        </w:trPr>
        <w:tc>
          <w:tcPr>
            <w:tcW w:w="4096" w:type="dxa"/>
            <w:gridSpan w:val="2"/>
            <w:vMerge w:val="restart"/>
            <w:tcBorders>
              <w:top w:val="single" w:sz="12" w:space="0" w:color="000000"/>
              <w:left w:val="single" w:sz="12" w:space="0" w:color="000000"/>
              <w:right w:val="single" w:sz="4" w:space="0" w:color="000000"/>
            </w:tcBorders>
            <w:shd w:val="clear" w:color="auto" w:fill="D9D9D9"/>
            <w:vAlign w:val="center"/>
          </w:tcPr>
          <w:p w14:paraId="2CC05C82" w14:textId="77777777" w:rsidR="00076856" w:rsidRPr="00A701FA" w:rsidRDefault="00DE4299" w:rsidP="00756C58">
            <w:pPr>
              <w:spacing w:line="360" w:lineRule="auto"/>
              <w:rPr>
                <w:rFonts w:ascii="Arial" w:eastAsia="Arial" w:hAnsi="Arial" w:cs="Arial"/>
                <w:sz w:val="20"/>
                <w:szCs w:val="20"/>
              </w:rPr>
            </w:pPr>
            <w:r w:rsidRPr="00A701FA">
              <w:rPr>
                <w:rFonts w:ascii="Arial" w:eastAsia="Arial" w:hAnsi="Arial" w:cs="Arial"/>
                <w:sz w:val="20"/>
                <w:szCs w:val="20"/>
              </w:rPr>
              <w:t>Područje</w:t>
            </w:r>
          </w:p>
        </w:tc>
        <w:tc>
          <w:tcPr>
            <w:tcW w:w="3402" w:type="dxa"/>
            <w:gridSpan w:val="3"/>
            <w:tcBorders>
              <w:top w:val="single" w:sz="12" w:space="0" w:color="000000"/>
              <w:left w:val="single" w:sz="4" w:space="0" w:color="000000"/>
              <w:bottom w:val="single" w:sz="4" w:space="0" w:color="000000"/>
              <w:right w:val="single" w:sz="12" w:space="0" w:color="000000"/>
            </w:tcBorders>
            <w:shd w:val="clear" w:color="auto" w:fill="D9D9D9"/>
            <w:vAlign w:val="center"/>
          </w:tcPr>
          <w:p w14:paraId="6AA9A005" w14:textId="77777777" w:rsidR="00076856" w:rsidRPr="00A701FA" w:rsidRDefault="00DE4299" w:rsidP="00756C58">
            <w:pPr>
              <w:spacing w:line="360" w:lineRule="auto"/>
              <w:rPr>
                <w:rFonts w:ascii="Arial" w:eastAsia="Arial" w:hAnsi="Arial" w:cs="Arial"/>
                <w:sz w:val="20"/>
                <w:szCs w:val="20"/>
              </w:rPr>
            </w:pPr>
            <w:r w:rsidRPr="00A701FA">
              <w:rPr>
                <w:rFonts w:ascii="Arial" w:eastAsia="Arial" w:hAnsi="Arial" w:cs="Arial"/>
                <w:sz w:val="20"/>
                <w:szCs w:val="20"/>
              </w:rPr>
              <w:t>Koliko brzo nakon ustajanja popušite prvu jutarnju cigaretu?</w:t>
            </w:r>
          </w:p>
        </w:tc>
        <w:tc>
          <w:tcPr>
            <w:tcW w:w="1134" w:type="dxa"/>
            <w:vMerge w:val="restart"/>
            <w:tcBorders>
              <w:top w:val="single" w:sz="12" w:space="0" w:color="000000"/>
              <w:right w:val="single" w:sz="12" w:space="0" w:color="000000"/>
            </w:tcBorders>
            <w:shd w:val="clear" w:color="auto" w:fill="D9D9D9"/>
            <w:vAlign w:val="center"/>
          </w:tcPr>
          <w:p w14:paraId="086CD3E2" w14:textId="77777777" w:rsidR="00076856" w:rsidRPr="00A701FA" w:rsidRDefault="00DE4299" w:rsidP="00756C58">
            <w:pPr>
              <w:spacing w:line="360" w:lineRule="auto"/>
              <w:rPr>
                <w:rFonts w:ascii="Arial" w:eastAsia="Arial" w:hAnsi="Arial" w:cs="Arial"/>
                <w:sz w:val="20"/>
                <w:szCs w:val="20"/>
              </w:rPr>
            </w:pPr>
            <w:r w:rsidRPr="00A701FA">
              <w:rPr>
                <w:rFonts w:ascii="Arial" w:eastAsia="Arial" w:hAnsi="Arial" w:cs="Arial"/>
                <w:sz w:val="20"/>
                <w:szCs w:val="20"/>
              </w:rPr>
              <w:t>Ukupno</w:t>
            </w:r>
          </w:p>
        </w:tc>
      </w:tr>
      <w:tr w:rsidR="00076856" w:rsidRPr="00A701FA" w14:paraId="7394AB45" w14:textId="77777777">
        <w:trPr>
          <w:trHeight w:val="992"/>
        </w:trPr>
        <w:tc>
          <w:tcPr>
            <w:tcW w:w="4096" w:type="dxa"/>
            <w:gridSpan w:val="2"/>
            <w:vMerge/>
            <w:tcBorders>
              <w:top w:val="single" w:sz="12" w:space="0" w:color="000000"/>
              <w:left w:val="single" w:sz="12" w:space="0" w:color="000000"/>
              <w:right w:val="single" w:sz="4" w:space="0" w:color="000000"/>
            </w:tcBorders>
            <w:shd w:val="clear" w:color="auto" w:fill="D9D9D9"/>
            <w:vAlign w:val="center"/>
          </w:tcPr>
          <w:p w14:paraId="48E01F83" w14:textId="77777777" w:rsidR="00076856" w:rsidRPr="00A701FA" w:rsidRDefault="00076856" w:rsidP="00756C58">
            <w:pPr>
              <w:widowControl w:val="0"/>
              <w:pBdr>
                <w:top w:val="nil"/>
                <w:left w:val="nil"/>
                <w:bottom w:val="nil"/>
                <w:right w:val="nil"/>
                <w:between w:val="nil"/>
              </w:pBdr>
              <w:spacing w:line="360" w:lineRule="auto"/>
              <w:rPr>
                <w:rFonts w:ascii="Arial" w:eastAsia="Arial" w:hAnsi="Arial" w:cs="Arial"/>
                <w:sz w:val="20"/>
                <w:szCs w:val="20"/>
              </w:rPr>
            </w:pPr>
          </w:p>
        </w:tc>
        <w:tc>
          <w:tcPr>
            <w:tcW w:w="1134" w:type="dxa"/>
            <w:tcBorders>
              <w:top w:val="single" w:sz="4" w:space="0" w:color="000000"/>
              <w:left w:val="single" w:sz="4" w:space="0" w:color="000000"/>
              <w:bottom w:val="single" w:sz="12" w:space="0" w:color="000000"/>
            </w:tcBorders>
            <w:shd w:val="clear" w:color="auto" w:fill="D9D9D9"/>
            <w:vAlign w:val="center"/>
          </w:tcPr>
          <w:p w14:paraId="5925C2D9" w14:textId="77777777" w:rsidR="00076856" w:rsidRPr="00A701FA" w:rsidRDefault="00DE4299" w:rsidP="00756C58">
            <w:pPr>
              <w:spacing w:line="360" w:lineRule="auto"/>
              <w:rPr>
                <w:rFonts w:ascii="Arial" w:eastAsia="Arial" w:hAnsi="Arial" w:cs="Arial"/>
                <w:sz w:val="20"/>
                <w:szCs w:val="20"/>
              </w:rPr>
            </w:pPr>
            <w:r w:rsidRPr="00A701FA">
              <w:rPr>
                <w:rFonts w:ascii="Arial" w:eastAsia="Arial" w:hAnsi="Arial" w:cs="Arial"/>
                <w:sz w:val="20"/>
                <w:szCs w:val="20"/>
              </w:rPr>
              <w:t>unutar 5 minuta</w:t>
            </w:r>
          </w:p>
        </w:tc>
        <w:tc>
          <w:tcPr>
            <w:tcW w:w="1134" w:type="dxa"/>
            <w:tcBorders>
              <w:top w:val="single" w:sz="4" w:space="0" w:color="000000"/>
              <w:bottom w:val="single" w:sz="12" w:space="0" w:color="000000"/>
              <w:right w:val="single" w:sz="4" w:space="0" w:color="000000"/>
            </w:tcBorders>
            <w:shd w:val="clear" w:color="auto" w:fill="D9D9D9"/>
            <w:vAlign w:val="center"/>
          </w:tcPr>
          <w:p w14:paraId="18B0EC01" w14:textId="77777777" w:rsidR="00076856" w:rsidRPr="00A701FA" w:rsidRDefault="00DE4299" w:rsidP="00756C58">
            <w:pPr>
              <w:spacing w:line="360" w:lineRule="auto"/>
              <w:rPr>
                <w:rFonts w:ascii="Arial" w:eastAsia="Arial" w:hAnsi="Arial" w:cs="Arial"/>
                <w:sz w:val="20"/>
                <w:szCs w:val="20"/>
              </w:rPr>
            </w:pPr>
            <w:r w:rsidRPr="00A701FA">
              <w:rPr>
                <w:rFonts w:ascii="Arial" w:eastAsia="Arial" w:hAnsi="Arial" w:cs="Arial"/>
                <w:sz w:val="20"/>
                <w:szCs w:val="20"/>
              </w:rPr>
              <w:t>5 do 30 minuta</w:t>
            </w:r>
          </w:p>
        </w:tc>
        <w:tc>
          <w:tcPr>
            <w:tcW w:w="1134" w:type="dxa"/>
            <w:tcBorders>
              <w:top w:val="single" w:sz="4" w:space="0" w:color="000000"/>
              <w:left w:val="single" w:sz="4" w:space="0" w:color="000000"/>
              <w:bottom w:val="single" w:sz="12" w:space="0" w:color="000000"/>
              <w:right w:val="single" w:sz="12" w:space="0" w:color="000000"/>
            </w:tcBorders>
            <w:shd w:val="clear" w:color="auto" w:fill="D9D9D9"/>
            <w:vAlign w:val="center"/>
          </w:tcPr>
          <w:p w14:paraId="565AAECA" w14:textId="77777777" w:rsidR="00076856" w:rsidRPr="00A701FA" w:rsidRDefault="00DE4299" w:rsidP="00756C58">
            <w:pPr>
              <w:spacing w:line="360" w:lineRule="auto"/>
              <w:rPr>
                <w:rFonts w:ascii="Arial" w:eastAsia="Arial" w:hAnsi="Arial" w:cs="Arial"/>
                <w:sz w:val="20"/>
                <w:szCs w:val="20"/>
              </w:rPr>
            </w:pPr>
            <w:r w:rsidRPr="00A701FA">
              <w:rPr>
                <w:rFonts w:ascii="Arial" w:eastAsia="Arial" w:hAnsi="Arial" w:cs="Arial"/>
                <w:sz w:val="20"/>
                <w:szCs w:val="20"/>
              </w:rPr>
              <w:t>31 do 60 minuta</w:t>
            </w:r>
          </w:p>
        </w:tc>
        <w:tc>
          <w:tcPr>
            <w:tcW w:w="1134" w:type="dxa"/>
            <w:vMerge/>
            <w:tcBorders>
              <w:top w:val="single" w:sz="12" w:space="0" w:color="000000"/>
              <w:right w:val="single" w:sz="12" w:space="0" w:color="000000"/>
            </w:tcBorders>
            <w:shd w:val="clear" w:color="auto" w:fill="D9D9D9"/>
            <w:vAlign w:val="center"/>
          </w:tcPr>
          <w:p w14:paraId="6FF05FB6" w14:textId="77777777" w:rsidR="00076856" w:rsidRPr="00A701FA" w:rsidRDefault="00076856" w:rsidP="00756C58">
            <w:pPr>
              <w:widowControl w:val="0"/>
              <w:pBdr>
                <w:top w:val="nil"/>
                <w:left w:val="nil"/>
                <w:bottom w:val="nil"/>
                <w:right w:val="nil"/>
                <w:between w:val="nil"/>
              </w:pBdr>
              <w:spacing w:line="360" w:lineRule="auto"/>
              <w:rPr>
                <w:rFonts w:ascii="Arial" w:eastAsia="Arial" w:hAnsi="Arial" w:cs="Arial"/>
                <w:sz w:val="20"/>
                <w:szCs w:val="20"/>
              </w:rPr>
            </w:pPr>
          </w:p>
        </w:tc>
      </w:tr>
      <w:tr w:rsidR="00076856" w:rsidRPr="00A701FA" w14:paraId="74EBBCDD" w14:textId="77777777">
        <w:trPr>
          <w:trHeight w:val="567"/>
        </w:trPr>
        <w:tc>
          <w:tcPr>
            <w:tcW w:w="2679" w:type="dxa"/>
            <w:vMerge w:val="restart"/>
            <w:tcBorders>
              <w:top w:val="single" w:sz="12" w:space="0" w:color="000000"/>
              <w:left w:val="single" w:sz="12" w:space="0" w:color="000000"/>
              <w:right w:val="single" w:sz="4" w:space="0" w:color="000000"/>
            </w:tcBorders>
            <w:vAlign w:val="center"/>
          </w:tcPr>
          <w:p w14:paraId="297B7479" w14:textId="77777777" w:rsidR="00076856" w:rsidRPr="00A701FA" w:rsidRDefault="00DE4299" w:rsidP="00756C58">
            <w:pPr>
              <w:spacing w:line="360" w:lineRule="auto"/>
              <w:rPr>
                <w:rFonts w:ascii="Arial" w:eastAsia="Arial" w:hAnsi="Arial" w:cs="Arial"/>
                <w:sz w:val="20"/>
                <w:szCs w:val="20"/>
              </w:rPr>
            </w:pPr>
            <w:r w:rsidRPr="00A701FA">
              <w:rPr>
                <w:rFonts w:ascii="Arial" w:eastAsia="Arial" w:hAnsi="Arial" w:cs="Arial"/>
                <w:sz w:val="20"/>
                <w:szCs w:val="20"/>
              </w:rPr>
              <w:t>Biomedicinsko</w:t>
            </w:r>
          </w:p>
          <w:p w14:paraId="003009EC" w14:textId="77777777" w:rsidR="00076856" w:rsidRPr="00A701FA" w:rsidRDefault="00DE4299" w:rsidP="00756C58">
            <w:pPr>
              <w:spacing w:line="360" w:lineRule="auto"/>
              <w:rPr>
                <w:rFonts w:ascii="Arial" w:eastAsia="Arial" w:hAnsi="Arial" w:cs="Arial"/>
                <w:sz w:val="20"/>
                <w:szCs w:val="20"/>
              </w:rPr>
            </w:pPr>
            <w:r w:rsidRPr="00A701FA">
              <w:rPr>
                <w:rFonts w:ascii="Arial" w:eastAsia="Arial" w:hAnsi="Arial" w:cs="Arial"/>
                <w:sz w:val="20"/>
                <w:szCs w:val="20"/>
              </w:rPr>
              <w:t>područje (medicina)</w:t>
            </w:r>
          </w:p>
        </w:tc>
        <w:tc>
          <w:tcPr>
            <w:tcW w:w="1417" w:type="dxa"/>
            <w:tcBorders>
              <w:top w:val="single" w:sz="12" w:space="0" w:color="000000"/>
              <w:left w:val="single" w:sz="4" w:space="0" w:color="000000"/>
              <w:right w:val="single" w:sz="4" w:space="0" w:color="000000"/>
            </w:tcBorders>
            <w:vAlign w:val="center"/>
          </w:tcPr>
          <w:p w14:paraId="4DF94C8B" w14:textId="77777777" w:rsidR="00076856" w:rsidRPr="00A701FA" w:rsidRDefault="00DE4299" w:rsidP="00756C58">
            <w:pPr>
              <w:spacing w:line="360" w:lineRule="auto"/>
              <w:rPr>
                <w:rFonts w:ascii="Arial" w:eastAsia="Arial" w:hAnsi="Arial" w:cs="Arial"/>
                <w:sz w:val="20"/>
                <w:szCs w:val="20"/>
              </w:rPr>
            </w:pPr>
            <w:r w:rsidRPr="00A701FA">
              <w:rPr>
                <w:rFonts w:ascii="Arial" w:eastAsia="Arial" w:hAnsi="Arial" w:cs="Arial"/>
                <w:sz w:val="20"/>
                <w:szCs w:val="20"/>
              </w:rPr>
              <w:t>Broj (N)</w:t>
            </w:r>
          </w:p>
        </w:tc>
        <w:tc>
          <w:tcPr>
            <w:tcW w:w="1134" w:type="dxa"/>
            <w:tcBorders>
              <w:top w:val="single" w:sz="12" w:space="0" w:color="000000"/>
              <w:left w:val="single" w:sz="4" w:space="0" w:color="000000"/>
              <w:right w:val="single" w:sz="4" w:space="0" w:color="000000"/>
            </w:tcBorders>
            <w:vAlign w:val="center"/>
          </w:tcPr>
          <w:p w14:paraId="6FFA57F9"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color w:val="010205"/>
                <w:sz w:val="20"/>
                <w:szCs w:val="20"/>
              </w:rPr>
              <w:t>21</w:t>
            </w:r>
          </w:p>
        </w:tc>
        <w:tc>
          <w:tcPr>
            <w:tcW w:w="1134" w:type="dxa"/>
            <w:tcBorders>
              <w:top w:val="single" w:sz="12" w:space="0" w:color="000000"/>
              <w:left w:val="single" w:sz="4" w:space="0" w:color="000000"/>
              <w:right w:val="single" w:sz="4" w:space="0" w:color="000000"/>
            </w:tcBorders>
            <w:vAlign w:val="center"/>
          </w:tcPr>
          <w:p w14:paraId="720DCDC3"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color w:val="010205"/>
                <w:sz w:val="20"/>
                <w:szCs w:val="20"/>
              </w:rPr>
              <w:t>78</w:t>
            </w:r>
          </w:p>
        </w:tc>
        <w:tc>
          <w:tcPr>
            <w:tcW w:w="1134" w:type="dxa"/>
            <w:tcBorders>
              <w:top w:val="single" w:sz="12" w:space="0" w:color="000000"/>
              <w:left w:val="single" w:sz="4" w:space="0" w:color="000000"/>
              <w:right w:val="single" w:sz="12" w:space="0" w:color="000000"/>
            </w:tcBorders>
            <w:vAlign w:val="center"/>
          </w:tcPr>
          <w:p w14:paraId="169B97AC"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color w:val="010205"/>
                <w:sz w:val="20"/>
                <w:szCs w:val="20"/>
              </w:rPr>
              <w:t>343</w:t>
            </w:r>
          </w:p>
        </w:tc>
        <w:tc>
          <w:tcPr>
            <w:tcW w:w="1134" w:type="dxa"/>
            <w:tcBorders>
              <w:top w:val="single" w:sz="12" w:space="0" w:color="000000"/>
              <w:left w:val="single" w:sz="12" w:space="0" w:color="000000"/>
              <w:right w:val="single" w:sz="12" w:space="0" w:color="000000"/>
            </w:tcBorders>
            <w:vAlign w:val="center"/>
          </w:tcPr>
          <w:p w14:paraId="6A164F43"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color w:val="010205"/>
                <w:sz w:val="20"/>
                <w:szCs w:val="20"/>
              </w:rPr>
              <w:t>442</w:t>
            </w:r>
          </w:p>
        </w:tc>
      </w:tr>
      <w:tr w:rsidR="00076856" w:rsidRPr="00A701FA" w14:paraId="5E1DCD68" w14:textId="77777777">
        <w:trPr>
          <w:trHeight w:val="567"/>
        </w:trPr>
        <w:tc>
          <w:tcPr>
            <w:tcW w:w="2679" w:type="dxa"/>
            <w:vMerge/>
            <w:tcBorders>
              <w:top w:val="single" w:sz="12" w:space="0" w:color="000000"/>
              <w:left w:val="single" w:sz="12" w:space="0" w:color="000000"/>
              <w:right w:val="single" w:sz="4" w:space="0" w:color="000000"/>
            </w:tcBorders>
            <w:vAlign w:val="center"/>
          </w:tcPr>
          <w:p w14:paraId="12B97056" w14:textId="77777777" w:rsidR="00076856" w:rsidRPr="00A701FA" w:rsidRDefault="00076856" w:rsidP="00756C58">
            <w:pPr>
              <w:widowControl w:val="0"/>
              <w:pBdr>
                <w:top w:val="nil"/>
                <w:left w:val="nil"/>
                <w:bottom w:val="nil"/>
                <w:right w:val="nil"/>
                <w:between w:val="nil"/>
              </w:pBdr>
              <w:spacing w:line="360" w:lineRule="auto"/>
              <w:rPr>
                <w:rFonts w:ascii="Arial" w:eastAsia="Arial" w:hAnsi="Arial" w:cs="Arial"/>
                <w:sz w:val="20"/>
                <w:szCs w:val="20"/>
              </w:rPr>
            </w:pPr>
          </w:p>
        </w:tc>
        <w:tc>
          <w:tcPr>
            <w:tcW w:w="1417" w:type="dxa"/>
            <w:tcBorders>
              <w:top w:val="single" w:sz="4" w:space="0" w:color="000000"/>
              <w:left w:val="single" w:sz="4" w:space="0" w:color="000000"/>
              <w:right w:val="single" w:sz="4" w:space="0" w:color="000000"/>
            </w:tcBorders>
            <w:vAlign w:val="center"/>
          </w:tcPr>
          <w:p w14:paraId="6F174511" w14:textId="77777777" w:rsidR="00076856" w:rsidRPr="00A701FA" w:rsidRDefault="00DE4299" w:rsidP="00756C58">
            <w:pPr>
              <w:spacing w:line="360" w:lineRule="auto"/>
              <w:rPr>
                <w:rFonts w:ascii="Arial" w:eastAsia="Arial" w:hAnsi="Arial" w:cs="Arial"/>
                <w:sz w:val="20"/>
                <w:szCs w:val="20"/>
              </w:rPr>
            </w:pPr>
            <w:r w:rsidRPr="00A701FA">
              <w:rPr>
                <w:rFonts w:ascii="Arial" w:eastAsia="Arial" w:hAnsi="Arial" w:cs="Arial"/>
                <w:sz w:val="20"/>
                <w:szCs w:val="20"/>
              </w:rPr>
              <w:t>% unutar područja</w:t>
            </w:r>
          </w:p>
        </w:tc>
        <w:tc>
          <w:tcPr>
            <w:tcW w:w="1134" w:type="dxa"/>
            <w:tcBorders>
              <w:left w:val="single" w:sz="4" w:space="0" w:color="000000"/>
              <w:right w:val="single" w:sz="4" w:space="0" w:color="000000"/>
            </w:tcBorders>
            <w:vAlign w:val="center"/>
          </w:tcPr>
          <w:p w14:paraId="6AC1955C"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color w:val="010205"/>
                <w:sz w:val="20"/>
                <w:szCs w:val="20"/>
              </w:rPr>
              <w:t>4,8%</w:t>
            </w:r>
          </w:p>
        </w:tc>
        <w:tc>
          <w:tcPr>
            <w:tcW w:w="1134" w:type="dxa"/>
            <w:tcBorders>
              <w:left w:val="single" w:sz="4" w:space="0" w:color="000000"/>
              <w:right w:val="single" w:sz="4" w:space="0" w:color="000000"/>
            </w:tcBorders>
            <w:vAlign w:val="center"/>
          </w:tcPr>
          <w:p w14:paraId="1F8BD1C0"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color w:val="010205"/>
                <w:sz w:val="20"/>
                <w:szCs w:val="20"/>
              </w:rPr>
              <w:t>17,6%</w:t>
            </w:r>
          </w:p>
        </w:tc>
        <w:tc>
          <w:tcPr>
            <w:tcW w:w="1134" w:type="dxa"/>
            <w:tcBorders>
              <w:left w:val="single" w:sz="4" w:space="0" w:color="000000"/>
              <w:right w:val="single" w:sz="12" w:space="0" w:color="000000"/>
            </w:tcBorders>
            <w:vAlign w:val="center"/>
          </w:tcPr>
          <w:p w14:paraId="51FA78BB"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color w:val="010205"/>
                <w:sz w:val="20"/>
                <w:szCs w:val="20"/>
              </w:rPr>
              <w:t>77,6%</w:t>
            </w:r>
          </w:p>
        </w:tc>
        <w:tc>
          <w:tcPr>
            <w:tcW w:w="1134" w:type="dxa"/>
            <w:tcBorders>
              <w:left w:val="single" w:sz="12" w:space="0" w:color="000000"/>
              <w:right w:val="single" w:sz="12" w:space="0" w:color="000000"/>
            </w:tcBorders>
            <w:vAlign w:val="center"/>
          </w:tcPr>
          <w:p w14:paraId="10F690CD"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color w:val="010205"/>
                <w:sz w:val="20"/>
                <w:szCs w:val="20"/>
              </w:rPr>
              <w:t>100,0%</w:t>
            </w:r>
          </w:p>
        </w:tc>
      </w:tr>
      <w:tr w:rsidR="00076856" w:rsidRPr="00A701FA" w14:paraId="265B2725" w14:textId="77777777">
        <w:trPr>
          <w:trHeight w:val="567"/>
        </w:trPr>
        <w:tc>
          <w:tcPr>
            <w:tcW w:w="2679" w:type="dxa"/>
            <w:vMerge w:val="restart"/>
            <w:tcBorders>
              <w:left w:val="single" w:sz="12" w:space="0" w:color="000000"/>
              <w:right w:val="single" w:sz="4" w:space="0" w:color="000000"/>
            </w:tcBorders>
            <w:vAlign w:val="center"/>
          </w:tcPr>
          <w:p w14:paraId="385DECD1" w14:textId="77777777" w:rsidR="00076856" w:rsidRPr="00A701FA" w:rsidRDefault="00DE4299" w:rsidP="00756C58">
            <w:pPr>
              <w:spacing w:line="360" w:lineRule="auto"/>
              <w:rPr>
                <w:rFonts w:ascii="Arial" w:eastAsia="Arial" w:hAnsi="Arial" w:cs="Arial"/>
                <w:sz w:val="20"/>
                <w:szCs w:val="20"/>
              </w:rPr>
            </w:pPr>
            <w:r w:rsidRPr="00A701FA">
              <w:rPr>
                <w:rFonts w:ascii="Arial" w:eastAsia="Arial" w:hAnsi="Arial" w:cs="Arial"/>
                <w:sz w:val="20"/>
                <w:szCs w:val="20"/>
              </w:rPr>
              <w:t xml:space="preserve">Umjetničko </w:t>
            </w:r>
          </w:p>
          <w:p w14:paraId="0652E632" w14:textId="77777777" w:rsidR="00076856" w:rsidRPr="00A701FA" w:rsidRDefault="00DE4299" w:rsidP="00756C58">
            <w:pPr>
              <w:spacing w:line="360" w:lineRule="auto"/>
              <w:rPr>
                <w:rFonts w:ascii="Arial" w:eastAsia="Arial" w:hAnsi="Arial" w:cs="Arial"/>
                <w:sz w:val="20"/>
                <w:szCs w:val="20"/>
              </w:rPr>
            </w:pPr>
            <w:r w:rsidRPr="00A701FA">
              <w:rPr>
                <w:rFonts w:ascii="Arial" w:eastAsia="Arial" w:hAnsi="Arial" w:cs="Arial"/>
                <w:sz w:val="20"/>
                <w:szCs w:val="20"/>
              </w:rPr>
              <w:t>područje</w:t>
            </w:r>
          </w:p>
        </w:tc>
        <w:tc>
          <w:tcPr>
            <w:tcW w:w="1417" w:type="dxa"/>
            <w:tcBorders>
              <w:left w:val="single" w:sz="4" w:space="0" w:color="000000"/>
              <w:right w:val="single" w:sz="4" w:space="0" w:color="000000"/>
            </w:tcBorders>
            <w:vAlign w:val="center"/>
          </w:tcPr>
          <w:p w14:paraId="3555BE97" w14:textId="77777777" w:rsidR="00076856" w:rsidRPr="00A701FA" w:rsidRDefault="00DE4299" w:rsidP="00756C58">
            <w:pPr>
              <w:spacing w:line="360" w:lineRule="auto"/>
              <w:rPr>
                <w:rFonts w:ascii="Arial" w:eastAsia="Arial" w:hAnsi="Arial" w:cs="Arial"/>
                <w:sz w:val="20"/>
                <w:szCs w:val="20"/>
              </w:rPr>
            </w:pPr>
            <w:r w:rsidRPr="00A701FA">
              <w:rPr>
                <w:rFonts w:ascii="Arial" w:eastAsia="Arial" w:hAnsi="Arial" w:cs="Arial"/>
                <w:sz w:val="20"/>
                <w:szCs w:val="20"/>
              </w:rPr>
              <w:t>Broj (N)</w:t>
            </w:r>
          </w:p>
        </w:tc>
        <w:tc>
          <w:tcPr>
            <w:tcW w:w="1134" w:type="dxa"/>
            <w:tcBorders>
              <w:left w:val="single" w:sz="4" w:space="0" w:color="000000"/>
              <w:right w:val="single" w:sz="4" w:space="0" w:color="000000"/>
            </w:tcBorders>
            <w:vAlign w:val="center"/>
          </w:tcPr>
          <w:p w14:paraId="357D8A10"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color w:val="010205"/>
                <w:sz w:val="20"/>
                <w:szCs w:val="20"/>
              </w:rPr>
              <w:t>6</w:t>
            </w:r>
          </w:p>
        </w:tc>
        <w:tc>
          <w:tcPr>
            <w:tcW w:w="1134" w:type="dxa"/>
            <w:tcBorders>
              <w:left w:val="single" w:sz="4" w:space="0" w:color="000000"/>
              <w:right w:val="single" w:sz="4" w:space="0" w:color="000000"/>
            </w:tcBorders>
            <w:vAlign w:val="center"/>
          </w:tcPr>
          <w:p w14:paraId="2C264E2C"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color w:val="010205"/>
                <w:sz w:val="20"/>
                <w:szCs w:val="20"/>
              </w:rPr>
              <w:t>28</w:t>
            </w:r>
          </w:p>
        </w:tc>
        <w:tc>
          <w:tcPr>
            <w:tcW w:w="1134" w:type="dxa"/>
            <w:tcBorders>
              <w:left w:val="single" w:sz="4" w:space="0" w:color="000000"/>
              <w:right w:val="single" w:sz="12" w:space="0" w:color="000000"/>
            </w:tcBorders>
            <w:vAlign w:val="center"/>
          </w:tcPr>
          <w:p w14:paraId="5491B6F7"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color w:val="010205"/>
                <w:sz w:val="20"/>
                <w:szCs w:val="20"/>
              </w:rPr>
              <w:t>75</w:t>
            </w:r>
          </w:p>
        </w:tc>
        <w:tc>
          <w:tcPr>
            <w:tcW w:w="1134" w:type="dxa"/>
            <w:tcBorders>
              <w:left w:val="single" w:sz="12" w:space="0" w:color="000000"/>
              <w:right w:val="single" w:sz="12" w:space="0" w:color="000000"/>
            </w:tcBorders>
            <w:vAlign w:val="center"/>
          </w:tcPr>
          <w:p w14:paraId="7524F86B"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color w:val="010205"/>
                <w:sz w:val="20"/>
                <w:szCs w:val="20"/>
              </w:rPr>
              <w:t>109</w:t>
            </w:r>
          </w:p>
        </w:tc>
      </w:tr>
      <w:tr w:rsidR="00076856" w:rsidRPr="00A701FA" w14:paraId="731477BC" w14:textId="77777777">
        <w:trPr>
          <w:trHeight w:val="567"/>
        </w:trPr>
        <w:tc>
          <w:tcPr>
            <w:tcW w:w="2679" w:type="dxa"/>
            <w:vMerge/>
            <w:tcBorders>
              <w:left w:val="single" w:sz="12" w:space="0" w:color="000000"/>
              <w:right w:val="single" w:sz="4" w:space="0" w:color="000000"/>
            </w:tcBorders>
            <w:vAlign w:val="center"/>
          </w:tcPr>
          <w:p w14:paraId="11F97D1A" w14:textId="77777777" w:rsidR="00076856" w:rsidRPr="00A701FA" w:rsidRDefault="00076856" w:rsidP="00756C58">
            <w:pPr>
              <w:widowControl w:val="0"/>
              <w:pBdr>
                <w:top w:val="nil"/>
                <w:left w:val="nil"/>
                <w:bottom w:val="nil"/>
                <w:right w:val="nil"/>
                <w:between w:val="nil"/>
              </w:pBdr>
              <w:spacing w:line="360" w:lineRule="auto"/>
              <w:rPr>
                <w:rFonts w:ascii="Arial" w:eastAsia="Arial" w:hAnsi="Arial" w:cs="Arial"/>
                <w:sz w:val="20"/>
                <w:szCs w:val="20"/>
              </w:rPr>
            </w:pPr>
          </w:p>
        </w:tc>
        <w:tc>
          <w:tcPr>
            <w:tcW w:w="1417" w:type="dxa"/>
            <w:tcBorders>
              <w:left w:val="single" w:sz="4" w:space="0" w:color="000000"/>
              <w:right w:val="single" w:sz="4" w:space="0" w:color="000000"/>
            </w:tcBorders>
            <w:vAlign w:val="center"/>
          </w:tcPr>
          <w:p w14:paraId="2B410CF0" w14:textId="77777777" w:rsidR="00076856" w:rsidRPr="00A701FA" w:rsidRDefault="00DE4299" w:rsidP="00756C58">
            <w:pPr>
              <w:spacing w:line="360" w:lineRule="auto"/>
              <w:rPr>
                <w:rFonts w:ascii="Arial" w:eastAsia="Arial" w:hAnsi="Arial" w:cs="Arial"/>
                <w:sz w:val="20"/>
                <w:szCs w:val="20"/>
              </w:rPr>
            </w:pPr>
            <w:r w:rsidRPr="00A701FA">
              <w:rPr>
                <w:rFonts w:ascii="Arial" w:eastAsia="Arial" w:hAnsi="Arial" w:cs="Arial"/>
                <w:sz w:val="20"/>
                <w:szCs w:val="20"/>
              </w:rPr>
              <w:t>% unutar područja</w:t>
            </w:r>
          </w:p>
        </w:tc>
        <w:tc>
          <w:tcPr>
            <w:tcW w:w="1134" w:type="dxa"/>
            <w:tcBorders>
              <w:left w:val="single" w:sz="4" w:space="0" w:color="000000"/>
              <w:right w:val="single" w:sz="4" w:space="0" w:color="000000"/>
            </w:tcBorders>
            <w:vAlign w:val="center"/>
          </w:tcPr>
          <w:p w14:paraId="799A1964"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color w:val="010205"/>
                <w:sz w:val="20"/>
                <w:szCs w:val="20"/>
              </w:rPr>
              <w:t>5,5%</w:t>
            </w:r>
          </w:p>
        </w:tc>
        <w:tc>
          <w:tcPr>
            <w:tcW w:w="1134" w:type="dxa"/>
            <w:tcBorders>
              <w:left w:val="single" w:sz="4" w:space="0" w:color="000000"/>
              <w:right w:val="single" w:sz="4" w:space="0" w:color="000000"/>
            </w:tcBorders>
            <w:vAlign w:val="center"/>
          </w:tcPr>
          <w:p w14:paraId="27CD191A"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color w:val="010205"/>
                <w:sz w:val="20"/>
                <w:szCs w:val="20"/>
              </w:rPr>
              <w:t>25,7%</w:t>
            </w:r>
          </w:p>
        </w:tc>
        <w:tc>
          <w:tcPr>
            <w:tcW w:w="1134" w:type="dxa"/>
            <w:tcBorders>
              <w:left w:val="single" w:sz="4" w:space="0" w:color="000000"/>
              <w:right w:val="single" w:sz="12" w:space="0" w:color="000000"/>
            </w:tcBorders>
            <w:vAlign w:val="center"/>
          </w:tcPr>
          <w:p w14:paraId="0248B305"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color w:val="010205"/>
                <w:sz w:val="20"/>
                <w:szCs w:val="20"/>
              </w:rPr>
              <w:t>68,8%</w:t>
            </w:r>
          </w:p>
        </w:tc>
        <w:tc>
          <w:tcPr>
            <w:tcW w:w="1134" w:type="dxa"/>
            <w:tcBorders>
              <w:left w:val="single" w:sz="12" w:space="0" w:color="000000"/>
              <w:right w:val="single" w:sz="12" w:space="0" w:color="000000"/>
            </w:tcBorders>
            <w:vAlign w:val="center"/>
          </w:tcPr>
          <w:p w14:paraId="3A087F9D"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color w:val="010205"/>
                <w:sz w:val="20"/>
                <w:szCs w:val="20"/>
              </w:rPr>
              <w:t>100,0%</w:t>
            </w:r>
          </w:p>
        </w:tc>
      </w:tr>
      <w:tr w:rsidR="00076856" w:rsidRPr="00A701FA" w14:paraId="6773B5CC" w14:textId="77777777">
        <w:trPr>
          <w:trHeight w:val="567"/>
        </w:trPr>
        <w:tc>
          <w:tcPr>
            <w:tcW w:w="2679" w:type="dxa"/>
            <w:vMerge w:val="restart"/>
            <w:tcBorders>
              <w:left w:val="single" w:sz="12" w:space="0" w:color="000000"/>
              <w:right w:val="single" w:sz="4" w:space="0" w:color="000000"/>
            </w:tcBorders>
            <w:vAlign w:val="center"/>
          </w:tcPr>
          <w:p w14:paraId="734265FF" w14:textId="77777777" w:rsidR="00076856" w:rsidRPr="00A701FA" w:rsidRDefault="00DE4299" w:rsidP="00756C58">
            <w:pPr>
              <w:spacing w:line="360" w:lineRule="auto"/>
              <w:rPr>
                <w:rFonts w:ascii="Arial" w:eastAsia="Arial" w:hAnsi="Arial" w:cs="Arial"/>
                <w:sz w:val="20"/>
                <w:szCs w:val="20"/>
              </w:rPr>
            </w:pPr>
            <w:r w:rsidRPr="00A701FA">
              <w:rPr>
                <w:rFonts w:ascii="Arial" w:eastAsia="Arial" w:hAnsi="Arial" w:cs="Arial"/>
                <w:sz w:val="20"/>
                <w:szCs w:val="20"/>
              </w:rPr>
              <w:t xml:space="preserve">Društveno-humanističko </w:t>
            </w:r>
          </w:p>
          <w:p w14:paraId="554FEDD5" w14:textId="77777777" w:rsidR="00076856" w:rsidRPr="00A701FA" w:rsidRDefault="00DE4299" w:rsidP="00756C58">
            <w:pPr>
              <w:spacing w:line="360" w:lineRule="auto"/>
              <w:rPr>
                <w:rFonts w:ascii="Arial" w:eastAsia="Arial" w:hAnsi="Arial" w:cs="Arial"/>
                <w:sz w:val="20"/>
                <w:szCs w:val="20"/>
              </w:rPr>
            </w:pPr>
            <w:r w:rsidRPr="00A701FA">
              <w:rPr>
                <w:rFonts w:ascii="Arial" w:eastAsia="Arial" w:hAnsi="Arial" w:cs="Arial"/>
                <w:sz w:val="20"/>
                <w:szCs w:val="20"/>
              </w:rPr>
              <w:t>područje</w:t>
            </w:r>
          </w:p>
        </w:tc>
        <w:tc>
          <w:tcPr>
            <w:tcW w:w="1417" w:type="dxa"/>
            <w:tcBorders>
              <w:left w:val="single" w:sz="4" w:space="0" w:color="000000"/>
              <w:right w:val="single" w:sz="4" w:space="0" w:color="000000"/>
            </w:tcBorders>
            <w:vAlign w:val="center"/>
          </w:tcPr>
          <w:p w14:paraId="7663EA81" w14:textId="77777777" w:rsidR="00076856" w:rsidRPr="00A701FA" w:rsidRDefault="00DE4299" w:rsidP="00756C58">
            <w:pPr>
              <w:spacing w:line="360" w:lineRule="auto"/>
              <w:rPr>
                <w:rFonts w:ascii="Arial" w:eastAsia="Arial" w:hAnsi="Arial" w:cs="Arial"/>
                <w:sz w:val="20"/>
                <w:szCs w:val="20"/>
              </w:rPr>
            </w:pPr>
            <w:r w:rsidRPr="00A701FA">
              <w:rPr>
                <w:rFonts w:ascii="Arial" w:eastAsia="Arial" w:hAnsi="Arial" w:cs="Arial"/>
                <w:sz w:val="20"/>
                <w:szCs w:val="20"/>
              </w:rPr>
              <w:t>Broj (N)</w:t>
            </w:r>
          </w:p>
        </w:tc>
        <w:tc>
          <w:tcPr>
            <w:tcW w:w="1134" w:type="dxa"/>
            <w:tcBorders>
              <w:left w:val="single" w:sz="4" w:space="0" w:color="000000"/>
              <w:right w:val="single" w:sz="4" w:space="0" w:color="000000"/>
            </w:tcBorders>
            <w:vAlign w:val="center"/>
          </w:tcPr>
          <w:p w14:paraId="722846CE"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color w:val="010205"/>
                <w:sz w:val="20"/>
                <w:szCs w:val="20"/>
              </w:rPr>
              <w:t>39</w:t>
            </w:r>
          </w:p>
        </w:tc>
        <w:tc>
          <w:tcPr>
            <w:tcW w:w="1134" w:type="dxa"/>
            <w:tcBorders>
              <w:left w:val="single" w:sz="4" w:space="0" w:color="000000"/>
              <w:right w:val="single" w:sz="4" w:space="0" w:color="000000"/>
            </w:tcBorders>
            <w:vAlign w:val="center"/>
          </w:tcPr>
          <w:p w14:paraId="0E313511"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color w:val="010205"/>
                <w:sz w:val="20"/>
                <w:szCs w:val="20"/>
              </w:rPr>
              <w:t>231</w:t>
            </w:r>
          </w:p>
        </w:tc>
        <w:tc>
          <w:tcPr>
            <w:tcW w:w="1134" w:type="dxa"/>
            <w:tcBorders>
              <w:left w:val="single" w:sz="4" w:space="0" w:color="000000"/>
              <w:right w:val="single" w:sz="12" w:space="0" w:color="000000"/>
            </w:tcBorders>
            <w:vAlign w:val="center"/>
          </w:tcPr>
          <w:p w14:paraId="10CD73C4"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color w:val="010205"/>
                <w:sz w:val="20"/>
                <w:szCs w:val="20"/>
              </w:rPr>
              <w:t>602</w:t>
            </w:r>
          </w:p>
        </w:tc>
        <w:tc>
          <w:tcPr>
            <w:tcW w:w="1134" w:type="dxa"/>
            <w:tcBorders>
              <w:left w:val="single" w:sz="12" w:space="0" w:color="000000"/>
              <w:right w:val="single" w:sz="12" w:space="0" w:color="000000"/>
            </w:tcBorders>
            <w:vAlign w:val="center"/>
          </w:tcPr>
          <w:p w14:paraId="34DEEE96"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color w:val="010205"/>
                <w:sz w:val="20"/>
                <w:szCs w:val="20"/>
              </w:rPr>
              <w:t>872</w:t>
            </w:r>
          </w:p>
        </w:tc>
      </w:tr>
      <w:tr w:rsidR="00076856" w:rsidRPr="00A701FA" w14:paraId="0298F7EB" w14:textId="77777777">
        <w:trPr>
          <w:trHeight w:val="567"/>
        </w:trPr>
        <w:tc>
          <w:tcPr>
            <w:tcW w:w="2679" w:type="dxa"/>
            <w:vMerge/>
            <w:tcBorders>
              <w:left w:val="single" w:sz="12" w:space="0" w:color="000000"/>
              <w:right w:val="single" w:sz="4" w:space="0" w:color="000000"/>
            </w:tcBorders>
            <w:vAlign w:val="center"/>
          </w:tcPr>
          <w:p w14:paraId="5D1253FC" w14:textId="77777777" w:rsidR="00076856" w:rsidRPr="00A701FA" w:rsidRDefault="00076856" w:rsidP="00756C58">
            <w:pPr>
              <w:widowControl w:val="0"/>
              <w:pBdr>
                <w:top w:val="nil"/>
                <w:left w:val="nil"/>
                <w:bottom w:val="nil"/>
                <w:right w:val="nil"/>
                <w:between w:val="nil"/>
              </w:pBdr>
              <w:spacing w:line="360" w:lineRule="auto"/>
              <w:rPr>
                <w:rFonts w:ascii="Arial" w:eastAsia="Arial" w:hAnsi="Arial" w:cs="Arial"/>
                <w:sz w:val="20"/>
                <w:szCs w:val="20"/>
              </w:rPr>
            </w:pPr>
          </w:p>
        </w:tc>
        <w:tc>
          <w:tcPr>
            <w:tcW w:w="1417" w:type="dxa"/>
            <w:tcBorders>
              <w:left w:val="single" w:sz="4" w:space="0" w:color="000000"/>
              <w:right w:val="single" w:sz="4" w:space="0" w:color="000000"/>
            </w:tcBorders>
            <w:vAlign w:val="center"/>
          </w:tcPr>
          <w:p w14:paraId="232CD493" w14:textId="77777777" w:rsidR="00076856" w:rsidRPr="00A701FA" w:rsidRDefault="00DE4299" w:rsidP="00756C58">
            <w:pPr>
              <w:spacing w:line="360" w:lineRule="auto"/>
              <w:rPr>
                <w:rFonts w:ascii="Arial" w:eastAsia="Arial" w:hAnsi="Arial" w:cs="Arial"/>
                <w:sz w:val="20"/>
                <w:szCs w:val="20"/>
              </w:rPr>
            </w:pPr>
            <w:r w:rsidRPr="00A701FA">
              <w:rPr>
                <w:rFonts w:ascii="Arial" w:eastAsia="Arial" w:hAnsi="Arial" w:cs="Arial"/>
                <w:sz w:val="20"/>
                <w:szCs w:val="20"/>
              </w:rPr>
              <w:t>% unutar područja</w:t>
            </w:r>
          </w:p>
        </w:tc>
        <w:tc>
          <w:tcPr>
            <w:tcW w:w="1134" w:type="dxa"/>
            <w:tcBorders>
              <w:left w:val="single" w:sz="4" w:space="0" w:color="000000"/>
              <w:right w:val="single" w:sz="4" w:space="0" w:color="000000"/>
            </w:tcBorders>
            <w:vAlign w:val="center"/>
          </w:tcPr>
          <w:p w14:paraId="09E3BFB5"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color w:val="010205"/>
                <w:sz w:val="20"/>
                <w:szCs w:val="20"/>
              </w:rPr>
              <w:t>4,5%</w:t>
            </w:r>
          </w:p>
        </w:tc>
        <w:tc>
          <w:tcPr>
            <w:tcW w:w="1134" w:type="dxa"/>
            <w:tcBorders>
              <w:left w:val="single" w:sz="4" w:space="0" w:color="000000"/>
              <w:right w:val="single" w:sz="4" w:space="0" w:color="000000"/>
            </w:tcBorders>
            <w:vAlign w:val="center"/>
          </w:tcPr>
          <w:p w14:paraId="013E2DFE"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color w:val="010205"/>
                <w:sz w:val="20"/>
                <w:szCs w:val="20"/>
              </w:rPr>
              <w:t>26,5%</w:t>
            </w:r>
          </w:p>
        </w:tc>
        <w:tc>
          <w:tcPr>
            <w:tcW w:w="1134" w:type="dxa"/>
            <w:tcBorders>
              <w:left w:val="single" w:sz="4" w:space="0" w:color="000000"/>
              <w:right w:val="single" w:sz="12" w:space="0" w:color="000000"/>
            </w:tcBorders>
            <w:vAlign w:val="center"/>
          </w:tcPr>
          <w:p w14:paraId="49771555"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color w:val="010205"/>
                <w:sz w:val="20"/>
                <w:szCs w:val="20"/>
              </w:rPr>
              <w:t>69,0%</w:t>
            </w:r>
          </w:p>
        </w:tc>
        <w:tc>
          <w:tcPr>
            <w:tcW w:w="1134" w:type="dxa"/>
            <w:tcBorders>
              <w:left w:val="single" w:sz="12" w:space="0" w:color="000000"/>
              <w:right w:val="single" w:sz="12" w:space="0" w:color="000000"/>
            </w:tcBorders>
            <w:vAlign w:val="center"/>
          </w:tcPr>
          <w:p w14:paraId="787A3039"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color w:val="010205"/>
                <w:sz w:val="20"/>
                <w:szCs w:val="20"/>
              </w:rPr>
              <w:t>100,0%</w:t>
            </w:r>
          </w:p>
        </w:tc>
      </w:tr>
      <w:tr w:rsidR="00076856" w:rsidRPr="00A701FA" w14:paraId="3EF46AC6" w14:textId="77777777">
        <w:trPr>
          <w:trHeight w:val="567"/>
        </w:trPr>
        <w:tc>
          <w:tcPr>
            <w:tcW w:w="2679" w:type="dxa"/>
            <w:vMerge w:val="restart"/>
            <w:tcBorders>
              <w:top w:val="single" w:sz="12" w:space="0" w:color="000000"/>
              <w:left w:val="single" w:sz="12" w:space="0" w:color="000000"/>
              <w:right w:val="single" w:sz="4" w:space="0" w:color="000000"/>
            </w:tcBorders>
            <w:shd w:val="clear" w:color="auto" w:fill="D9D9D9"/>
            <w:vAlign w:val="center"/>
          </w:tcPr>
          <w:p w14:paraId="416B9391" w14:textId="77777777" w:rsidR="00076856" w:rsidRPr="00A701FA" w:rsidRDefault="00DE4299" w:rsidP="00756C58">
            <w:pPr>
              <w:spacing w:line="360" w:lineRule="auto"/>
              <w:rPr>
                <w:rFonts w:ascii="Arial" w:eastAsia="Arial" w:hAnsi="Arial" w:cs="Arial"/>
                <w:sz w:val="20"/>
                <w:szCs w:val="20"/>
              </w:rPr>
            </w:pPr>
            <w:r w:rsidRPr="00A701FA">
              <w:rPr>
                <w:rFonts w:ascii="Arial" w:eastAsia="Arial" w:hAnsi="Arial" w:cs="Arial"/>
                <w:sz w:val="20"/>
                <w:szCs w:val="20"/>
              </w:rPr>
              <w:t>Ukupno</w:t>
            </w:r>
          </w:p>
        </w:tc>
        <w:tc>
          <w:tcPr>
            <w:tcW w:w="1417" w:type="dxa"/>
            <w:tcBorders>
              <w:top w:val="single" w:sz="12" w:space="0" w:color="000000"/>
              <w:left w:val="single" w:sz="4" w:space="0" w:color="000000"/>
              <w:bottom w:val="single" w:sz="4" w:space="0" w:color="000000"/>
              <w:right w:val="single" w:sz="4" w:space="0" w:color="000000"/>
            </w:tcBorders>
            <w:shd w:val="clear" w:color="auto" w:fill="D9D9D9"/>
            <w:vAlign w:val="center"/>
          </w:tcPr>
          <w:p w14:paraId="5708E710" w14:textId="77777777" w:rsidR="00076856" w:rsidRPr="00A701FA" w:rsidRDefault="00DE4299" w:rsidP="00756C58">
            <w:pPr>
              <w:spacing w:line="360" w:lineRule="auto"/>
              <w:rPr>
                <w:rFonts w:ascii="Arial" w:eastAsia="Arial" w:hAnsi="Arial" w:cs="Arial"/>
                <w:sz w:val="20"/>
                <w:szCs w:val="20"/>
              </w:rPr>
            </w:pPr>
            <w:r w:rsidRPr="00A701FA">
              <w:rPr>
                <w:rFonts w:ascii="Arial" w:eastAsia="Arial" w:hAnsi="Arial" w:cs="Arial"/>
                <w:sz w:val="20"/>
                <w:szCs w:val="20"/>
              </w:rPr>
              <w:t>Broj (N)</w:t>
            </w:r>
          </w:p>
        </w:tc>
        <w:tc>
          <w:tcPr>
            <w:tcW w:w="1134" w:type="dxa"/>
            <w:tcBorders>
              <w:top w:val="single" w:sz="12" w:space="0" w:color="000000"/>
              <w:left w:val="single" w:sz="4" w:space="0" w:color="000000"/>
              <w:right w:val="single" w:sz="4" w:space="0" w:color="000000"/>
            </w:tcBorders>
            <w:shd w:val="clear" w:color="auto" w:fill="D9D9D9"/>
            <w:vAlign w:val="center"/>
          </w:tcPr>
          <w:p w14:paraId="0B9522F0"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color w:val="010205"/>
                <w:sz w:val="20"/>
                <w:szCs w:val="20"/>
              </w:rPr>
              <w:t>66</w:t>
            </w:r>
          </w:p>
        </w:tc>
        <w:tc>
          <w:tcPr>
            <w:tcW w:w="1134" w:type="dxa"/>
            <w:tcBorders>
              <w:top w:val="single" w:sz="12" w:space="0" w:color="000000"/>
              <w:left w:val="single" w:sz="4" w:space="0" w:color="000000"/>
              <w:right w:val="single" w:sz="4" w:space="0" w:color="000000"/>
            </w:tcBorders>
            <w:shd w:val="clear" w:color="auto" w:fill="D9D9D9"/>
            <w:vAlign w:val="center"/>
          </w:tcPr>
          <w:p w14:paraId="736A07A8"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color w:val="010205"/>
                <w:sz w:val="20"/>
                <w:szCs w:val="20"/>
              </w:rPr>
              <w:t>337</w:t>
            </w:r>
          </w:p>
        </w:tc>
        <w:tc>
          <w:tcPr>
            <w:tcW w:w="1134" w:type="dxa"/>
            <w:tcBorders>
              <w:top w:val="single" w:sz="12" w:space="0" w:color="000000"/>
              <w:left w:val="single" w:sz="4" w:space="0" w:color="000000"/>
              <w:right w:val="single" w:sz="12" w:space="0" w:color="000000"/>
            </w:tcBorders>
            <w:shd w:val="clear" w:color="auto" w:fill="D9D9D9"/>
            <w:vAlign w:val="center"/>
          </w:tcPr>
          <w:p w14:paraId="45B4BA42"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color w:val="010205"/>
                <w:sz w:val="20"/>
                <w:szCs w:val="20"/>
              </w:rPr>
              <w:t>1020</w:t>
            </w:r>
          </w:p>
        </w:tc>
        <w:tc>
          <w:tcPr>
            <w:tcW w:w="1134" w:type="dxa"/>
            <w:tcBorders>
              <w:top w:val="single" w:sz="12" w:space="0" w:color="000000"/>
              <w:left w:val="single" w:sz="12" w:space="0" w:color="000000"/>
              <w:right w:val="single" w:sz="12" w:space="0" w:color="000000"/>
            </w:tcBorders>
            <w:shd w:val="clear" w:color="auto" w:fill="D9D9D9"/>
            <w:vAlign w:val="center"/>
          </w:tcPr>
          <w:p w14:paraId="415A4421"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color w:val="010205"/>
                <w:sz w:val="20"/>
                <w:szCs w:val="20"/>
              </w:rPr>
              <w:t>1423</w:t>
            </w:r>
          </w:p>
        </w:tc>
      </w:tr>
      <w:tr w:rsidR="00076856" w:rsidRPr="00A701FA" w14:paraId="713C4667" w14:textId="77777777">
        <w:trPr>
          <w:trHeight w:val="567"/>
        </w:trPr>
        <w:tc>
          <w:tcPr>
            <w:tcW w:w="2679" w:type="dxa"/>
            <w:vMerge/>
            <w:tcBorders>
              <w:top w:val="single" w:sz="12" w:space="0" w:color="000000"/>
              <w:left w:val="single" w:sz="12" w:space="0" w:color="000000"/>
              <w:right w:val="single" w:sz="4" w:space="0" w:color="000000"/>
            </w:tcBorders>
            <w:shd w:val="clear" w:color="auto" w:fill="D9D9D9"/>
            <w:vAlign w:val="center"/>
          </w:tcPr>
          <w:p w14:paraId="41B0FE07" w14:textId="77777777" w:rsidR="00076856" w:rsidRPr="00A701FA" w:rsidRDefault="00076856" w:rsidP="00756C58">
            <w:pPr>
              <w:widowControl w:val="0"/>
              <w:pBdr>
                <w:top w:val="nil"/>
                <w:left w:val="nil"/>
                <w:bottom w:val="nil"/>
                <w:right w:val="nil"/>
                <w:between w:val="nil"/>
              </w:pBdr>
              <w:spacing w:line="360" w:lineRule="auto"/>
              <w:rPr>
                <w:rFonts w:ascii="Arial" w:eastAsia="Arial" w:hAnsi="Arial" w:cs="Arial"/>
                <w:sz w:val="20"/>
                <w:szCs w:val="20"/>
              </w:rPr>
            </w:pPr>
          </w:p>
        </w:tc>
        <w:tc>
          <w:tcPr>
            <w:tcW w:w="1417" w:type="dxa"/>
            <w:tcBorders>
              <w:top w:val="single" w:sz="4" w:space="0" w:color="000000"/>
              <w:left w:val="single" w:sz="4" w:space="0" w:color="000000"/>
              <w:bottom w:val="single" w:sz="12" w:space="0" w:color="000000"/>
              <w:right w:val="single" w:sz="4" w:space="0" w:color="000000"/>
            </w:tcBorders>
            <w:shd w:val="clear" w:color="auto" w:fill="D9D9D9"/>
            <w:vAlign w:val="center"/>
          </w:tcPr>
          <w:p w14:paraId="3E0E330D" w14:textId="77777777" w:rsidR="00076856" w:rsidRPr="00A701FA" w:rsidRDefault="00DE4299" w:rsidP="00756C58">
            <w:pPr>
              <w:spacing w:line="360" w:lineRule="auto"/>
              <w:rPr>
                <w:rFonts w:ascii="Arial" w:eastAsia="Arial" w:hAnsi="Arial" w:cs="Arial"/>
                <w:sz w:val="20"/>
                <w:szCs w:val="20"/>
              </w:rPr>
            </w:pPr>
            <w:r w:rsidRPr="00A701FA">
              <w:rPr>
                <w:rFonts w:ascii="Arial" w:eastAsia="Arial" w:hAnsi="Arial" w:cs="Arial"/>
                <w:sz w:val="20"/>
                <w:szCs w:val="20"/>
              </w:rPr>
              <w:t>Postotak (%)</w:t>
            </w:r>
          </w:p>
        </w:tc>
        <w:tc>
          <w:tcPr>
            <w:tcW w:w="1134" w:type="dxa"/>
            <w:tcBorders>
              <w:left w:val="single" w:sz="4" w:space="0" w:color="000000"/>
              <w:bottom w:val="single" w:sz="12" w:space="0" w:color="000000"/>
              <w:right w:val="single" w:sz="4" w:space="0" w:color="000000"/>
            </w:tcBorders>
            <w:shd w:val="clear" w:color="auto" w:fill="D9D9D9"/>
            <w:vAlign w:val="center"/>
          </w:tcPr>
          <w:p w14:paraId="41C951C3"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color w:val="010205"/>
                <w:sz w:val="20"/>
                <w:szCs w:val="20"/>
              </w:rPr>
              <w:t>4,6%</w:t>
            </w:r>
          </w:p>
        </w:tc>
        <w:tc>
          <w:tcPr>
            <w:tcW w:w="1134" w:type="dxa"/>
            <w:tcBorders>
              <w:left w:val="single" w:sz="4" w:space="0" w:color="000000"/>
              <w:bottom w:val="single" w:sz="12" w:space="0" w:color="000000"/>
              <w:right w:val="single" w:sz="4" w:space="0" w:color="000000"/>
            </w:tcBorders>
            <w:shd w:val="clear" w:color="auto" w:fill="D9D9D9"/>
            <w:vAlign w:val="center"/>
          </w:tcPr>
          <w:p w14:paraId="63529016"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color w:val="010205"/>
                <w:sz w:val="20"/>
                <w:szCs w:val="20"/>
              </w:rPr>
              <w:t>23,7%</w:t>
            </w:r>
          </w:p>
        </w:tc>
        <w:tc>
          <w:tcPr>
            <w:tcW w:w="1134" w:type="dxa"/>
            <w:tcBorders>
              <w:left w:val="single" w:sz="4" w:space="0" w:color="000000"/>
              <w:bottom w:val="single" w:sz="12" w:space="0" w:color="000000"/>
              <w:right w:val="single" w:sz="12" w:space="0" w:color="000000"/>
            </w:tcBorders>
            <w:shd w:val="clear" w:color="auto" w:fill="D9D9D9"/>
            <w:vAlign w:val="center"/>
          </w:tcPr>
          <w:p w14:paraId="716E8B8F"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color w:val="010205"/>
                <w:sz w:val="20"/>
                <w:szCs w:val="20"/>
              </w:rPr>
              <w:t>71,7%</w:t>
            </w:r>
          </w:p>
        </w:tc>
        <w:tc>
          <w:tcPr>
            <w:tcW w:w="1134" w:type="dxa"/>
            <w:tcBorders>
              <w:left w:val="single" w:sz="12" w:space="0" w:color="000000"/>
              <w:bottom w:val="single" w:sz="12" w:space="0" w:color="000000"/>
              <w:right w:val="single" w:sz="12" w:space="0" w:color="000000"/>
            </w:tcBorders>
            <w:shd w:val="clear" w:color="auto" w:fill="D9D9D9"/>
            <w:vAlign w:val="center"/>
          </w:tcPr>
          <w:p w14:paraId="38ECD88C"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color w:val="010205"/>
                <w:sz w:val="20"/>
                <w:szCs w:val="20"/>
              </w:rPr>
              <w:t>100,0%</w:t>
            </w:r>
          </w:p>
        </w:tc>
      </w:tr>
    </w:tbl>
    <w:p w14:paraId="3065CB90" w14:textId="77777777" w:rsidR="00076856" w:rsidRDefault="00076856" w:rsidP="00756C58">
      <w:pPr>
        <w:pBdr>
          <w:top w:val="nil"/>
          <w:left w:val="nil"/>
          <w:bottom w:val="nil"/>
          <w:right w:val="nil"/>
          <w:between w:val="nil"/>
        </w:pBdr>
        <w:spacing w:line="360" w:lineRule="auto"/>
        <w:rPr>
          <w:rFonts w:ascii="Arial" w:eastAsia="Arial" w:hAnsi="Arial" w:cs="Arial"/>
          <w:b/>
        </w:rPr>
      </w:pPr>
    </w:p>
    <w:p w14:paraId="4C3F2DC0" w14:textId="77777777" w:rsidR="00076856" w:rsidRDefault="00076856" w:rsidP="00756C58">
      <w:pPr>
        <w:spacing w:before="240" w:after="240" w:line="360" w:lineRule="auto"/>
        <w:jc w:val="both"/>
        <w:rPr>
          <w:rFonts w:ascii="Arial" w:eastAsia="Arial" w:hAnsi="Arial" w:cs="Arial"/>
        </w:rPr>
      </w:pPr>
    </w:p>
    <w:p w14:paraId="2ECB01CE" w14:textId="77777777" w:rsidR="00076856" w:rsidRPr="00A54222" w:rsidRDefault="00DE4299" w:rsidP="00756C58">
      <w:pPr>
        <w:spacing w:before="240" w:after="240" w:line="360" w:lineRule="auto"/>
        <w:jc w:val="both"/>
        <w:rPr>
          <w:rFonts w:ascii="Arial" w:eastAsia="Arial" w:hAnsi="Arial" w:cs="Arial"/>
          <w:sz w:val="20"/>
        </w:rPr>
      </w:pPr>
      <w:r w:rsidRPr="00A54222">
        <w:rPr>
          <w:rFonts w:ascii="Arial" w:eastAsia="Arial" w:hAnsi="Arial" w:cs="Arial"/>
          <w:sz w:val="20"/>
        </w:rPr>
        <w:t>Razlike u odgovorima na prvo pitanje s obzirom na spol (ꭓ</w:t>
      </w:r>
      <w:r w:rsidRPr="00A54222">
        <w:rPr>
          <w:rFonts w:ascii="Arial" w:eastAsia="Arial" w:hAnsi="Arial" w:cs="Arial"/>
          <w:sz w:val="20"/>
          <w:vertAlign w:val="superscript"/>
        </w:rPr>
        <w:t xml:space="preserve">2 </w:t>
      </w:r>
      <w:r w:rsidRPr="00A54222">
        <w:rPr>
          <w:rFonts w:ascii="Arial" w:eastAsia="Arial" w:hAnsi="Arial" w:cs="Arial"/>
          <w:sz w:val="20"/>
        </w:rPr>
        <w:t>= 2,732; df = 2; P = 0,255) i grad studiranja (ꭓ</w:t>
      </w:r>
      <w:r w:rsidRPr="00A54222">
        <w:rPr>
          <w:rFonts w:ascii="Arial" w:eastAsia="Arial" w:hAnsi="Arial" w:cs="Arial"/>
          <w:sz w:val="20"/>
          <w:vertAlign w:val="superscript"/>
        </w:rPr>
        <w:t>2</w:t>
      </w:r>
      <w:r w:rsidRPr="00A54222">
        <w:rPr>
          <w:rFonts w:ascii="Arial" w:eastAsia="Arial" w:hAnsi="Arial" w:cs="Arial"/>
          <w:sz w:val="20"/>
        </w:rPr>
        <w:t>= 5,485; df = 4; P = 0,241) nisu se pokazale statistički značajnima.</w:t>
      </w:r>
    </w:p>
    <w:p w14:paraId="3D111A9F" w14:textId="77777777" w:rsidR="00076856" w:rsidRDefault="00076856" w:rsidP="00756C58">
      <w:pPr>
        <w:spacing w:before="240" w:after="240" w:line="360" w:lineRule="auto"/>
        <w:jc w:val="both"/>
        <w:rPr>
          <w:rFonts w:ascii="Arial" w:eastAsia="Arial" w:hAnsi="Arial" w:cs="Arial"/>
        </w:rPr>
      </w:pPr>
    </w:p>
    <w:p w14:paraId="543716FC" w14:textId="77777777" w:rsidR="00076856" w:rsidRDefault="00076856" w:rsidP="00756C58">
      <w:pPr>
        <w:spacing w:before="240" w:after="240" w:line="360" w:lineRule="auto"/>
        <w:jc w:val="both"/>
        <w:rPr>
          <w:rFonts w:ascii="Arial" w:eastAsia="Arial" w:hAnsi="Arial" w:cs="Arial"/>
        </w:rPr>
      </w:pPr>
    </w:p>
    <w:p w14:paraId="6079977D" w14:textId="77777777" w:rsidR="00076856" w:rsidRDefault="00DE4299" w:rsidP="00756C58">
      <w:pPr>
        <w:pStyle w:val="Heading2"/>
        <w:numPr>
          <w:ilvl w:val="1"/>
          <w:numId w:val="1"/>
        </w:numPr>
        <w:spacing w:line="360" w:lineRule="auto"/>
        <w:ind w:firstLine="0"/>
        <w:jc w:val="both"/>
        <w:rPr>
          <w:rFonts w:ascii="Arial" w:eastAsia="Arial" w:hAnsi="Arial" w:cs="Arial"/>
          <w:sz w:val="24"/>
          <w:szCs w:val="24"/>
        </w:rPr>
      </w:pPr>
      <w:bookmarkStart w:id="22" w:name="_heading=h.ie6rt9qzmuw5" w:colFirst="0" w:colLast="0"/>
      <w:bookmarkStart w:id="23" w:name="_Toc75635803"/>
      <w:bookmarkEnd w:id="22"/>
      <w:r>
        <w:rPr>
          <w:rFonts w:ascii="Arial" w:eastAsia="Arial" w:hAnsi="Arial" w:cs="Arial"/>
          <w:sz w:val="24"/>
          <w:szCs w:val="24"/>
        </w:rPr>
        <w:lastRenderedPageBreak/>
        <w:t>Drugo pitanje: Je li Vam teško suzdržati se od pušenja u prostorima gdje je zabranjeno pušenje? (npr. crkva, knjižnica i slično)</w:t>
      </w:r>
      <w:bookmarkEnd w:id="23"/>
    </w:p>
    <w:p w14:paraId="33B57D5D" w14:textId="77777777" w:rsidR="00076856" w:rsidRPr="00A54222" w:rsidRDefault="00DE4299" w:rsidP="00756C58">
      <w:pPr>
        <w:spacing w:before="240" w:after="240" w:line="360" w:lineRule="auto"/>
        <w:jc w:val="both"/>
        <w:rPr>
          <w:rFonts w:ascii="Arial" w:eastAsia="Arial" w:hAnsi="Arial" w:cs="Arial"/>
          <w:sz w:val="20"/>
        </w:rPr>
      </w:pPr>
      <w:r w:rsidRPr="00A54222">
        <w:rPr>
          <w:rFonts w:ascii="Arial" w:eastAsia="Arial" w:hAnsi="Arial" w:cs="Arial"/>
          <w:sz w:val="20"/>
        </w:rPr>
        <w:t>Velikoj većini ispitanika (90,2%) nije se teško suzdržati od pušenja u prostorima gdje je pušenje zabranjeno (crkva, knjižnica...) te nisu pronađene statistički značajne razlike ni prema spolu, (ꭓ</w:t>
      </w:r>
      <w:r w:rsidRPr="00A54222">
        <w:rPr>
          <w:rFonts w:ascii="Arial" w:eastAsia="Arial" w:hAnsi="Arial" w:cs="Arial"/>
          <w:sz w:val="20"/>
          <w:vertAlign w:val="superscript"/>
        </w:rPr>
        <w:t xml:space="preserve">2 </w:t>
      </w:r>
      <w:r w:rsidRPr="00A54222">
        <w:rPr>
          <w:rFonts w:ascii="Arial" w:eastAsia="Arial" w:hAnsi="Arial" w:cs="Arial"/>
          <w:sz w:val="20"/>
        </w:rPr>
        <w:t>= 3,448; df = 1; P = 0,063 uz Yatesovu korekciju za tablice 2x2), ni prema gradu, (ꭓ</w:t>
      </w:r>
      <w:r w:rsidRPr="00A54222">
        <w:rPr>
          <w:rFonts w:ascii="Arial" w:eastAsia="Arial" w:hAnsi="Arial" w:cs="Arial"/>
          <w:sz w:val="20"/>
          <w:vertAlign w:val="superscript"/>
        </w:rPr>
        <w:t xml:space="preserve">2 </w:t>
      </w:r>
      <w:r w:rsidRPr="00A54222">
        <w:rPr>
          <w:rFonts w:ascii="Arial" w:eastAsia="Arial" w:hAnsi="Arial" w:cs="Arial"/>
          <w:sz w:val="20"/>
        </w:rPr>
        <w:t>= 2,315; df = 2; P = 0,314) ni prema tipu studija, (ꭓ</w:t>
      </w:r>
      <w:r w:rsidRPr="00A54222">
        <w:rPr>
          <w:rFonts w:ascii="Arial" w:eastAsia="Arial" w:hAnsi="Arial" w:cs="Arial"/>
          <w:sz w:val="20"/>
          <w:vertAlign w:val="superscript"/>
        </w:rPr>
        <w:t>2</w:t>
      </w:r>
      <w:r w:rsidRPr="00A54222">
        <w:rPr>
          <w:rFonts w:ascii="Arial" w:eastAsia="Arial" w:hAnsi="Arial" w:cs="Arial"/>
          <w:sz w:val="20"/>
        </w:rPr>
        <w:t>= 0,025; df = 1; P = 0,874 uz Yatesovu korekciju) ni prema području studija (ꭓ</w:t>
      </w:r>
      <w:r w:rsidRPr="00A54222">
        <w:rPr>
          <w:rFonts w:ascii="Arial" w:eastAsia="Arial" w:hAnsi="Arial" w:cs="Arial"/>
          <w:sz w:val="20"/>
          <w:vertAlign w:val="superscript"/>
        </w:rPr>
        <w:t>2</w:t>
      </w:r>
      <w:r w:rsidRPr="00A54222">
        <w:rPr>
          <w:rFonts w:ascii="Arial" w:eastAsia="Arial" w:hAnsi="Arial" w:cs="Arial"/>
          <w:sz w:val="20"/>
        </w:rPr>
        <w:t>= 0,309; df = 2; P = 0,857).</w:t>
      </w:r>
    </w:p>
    <w:p w14:paraId="450B51FD" w14:textId="77777777" w:rsidR="00076856" w:rsidRPr="00A54222" w:rsidRDefault="00DE4299" w:rsidP="00756C58">
      <w:pPr>
        <w:spacing w:before="240" w:after="240" w:line="360" w:lineRule="auto"/>
        <w:rPr>
          <w:rFonts w:ascii="Arial" w:eastAsia="Arial" w:hAnsi="Arial" w:cs="Arial"/>
          <w:sz w:val="20"/>
        </w:rPr>
      </w:pPr>
      <w:r w:rsidRPr="00A54222">
        <w:rPr>
          <w:rFonts w:ascii="Arial" w:eastAsia="Arial" w:hAnsi="Arial" w:cs="Arial"/>
          <w:b/>
          <w:sz w:val="20"/>
        </w:rPr>
        <w:t xml:space="preserve">Tablica 6. </w:t>
      </w:r>
      <w:r w:rsidRPr="00A54222">
        <w:rPr>
          <w:rFonts w:ascii="Arial" w:eastAsia="Arial" w:hAnsi="Arial" w:cs="Arial"/>
          <w:b/>
          <w:sz w:val="20"/>
        </w:rPr>
        <w:tab/>
      </w:r>
      <w:r w:rsidRPr="00A54222">
        <w:rPr>
          <w:rFonts w:ascii="Arial" w:eastAsia="Arial" w:hAnsi="Arial" w:cs="Arial"/>
          <w:sz w:val="20"/>
        </w:rPr>
        <w:t xml:space="preserve">Raspodjela ispitanika prema odgovorima na drugo pitanje. </w:t>
      </w:r>
    </w:p>
    <w:tbl>
      <w:tblPr>
        <w:tblStyle w:val="af8"/>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2551"/>
        <w:gridCol w:w="3402"/>
      </w:tblGrid>
      <w:tr w:rsidR="00076856" w:rsidRPr="00A54222" w14:paraId="182E5987" w14:textId="77777777">
        <w:trPr>
          <w:trHeight w:val="992"/>
        </w:trPr>
        <w:tc>
          <w:tcPr>
            <w:tcW w:w="2660" w:type="dxa"/>
            <w:tcBorders>
              <w:top w:val="single" w:sz="12" w:space="0" w:color="000000"/>
              <w:left w:val="single" w:sz="12" w:space="0" w:color="000000"/>
              <w:bottom w:val="single" w:sz="12" w:space="0" w:color="000000"/>
            </w:tcBorders>
            <w:shd w:val="clear" w:color="auto" w:fill="D9D9D9"/>
            <w:vAlign w:val="center"/>
          </w:tcPr>
          <w:p w14:paraId="5E554055" w14:textId="77777777" w:rsidR="00076856" w:rsidRPr="00A54222" w:rsidRDefault="00DE4299" w:rsidP="00756C58">
            <w:pPr>
              <w:spacing w:line="360" w:lineRule="auto"/>
              <w:rPr>
                <w:rFonts w:ascii="Arial" w:eastAsia="Arial" w:hAnsi="Arial" w:cs="Arial"/>
                <w:sz w:val="20"/>
                <w:szCs w:val="20"/>
              </w:rPr>
            </w:pPr>
            <w:r w:rsidRPr="00A54222">
              <w:rPr>
                <w:rFonts w:ascii="Arial" w:eastAsia="Arial" w:hAnsi="Arial" w:cs="Arial"/>
                <w:sz w:val="20"/>
                <w:szCs w:val="20"/>
              </w:rPr>
              <w:t>Odgovori na 2. pitanje</w:t>
            </w:r>
          </w:p>
        </w:tc>
        <w:tc>
          <w:tcPr>
            <w:tcW w:w="2551" w:type="dxa"/>
            <w:tcBorders>
              <w:top w:val="single" w:sz="12" w:space="0" w:color="000000"/>
              <w:bottom w:val="single" w:sz="12" w:space="0" w:color="000000"/>
            </w:tcBorders>
            <w:shd w:val="clear" w:color="auto" w:fill="D9D9D9"/>
            <w:vAlign w:val="center"/>
          </w:tcPr>
          <w:p w14:paraId="0791EC87" w14:textId="77777777" w:rsidR="00076856" w:rsidRPr="00A54222" w:rsidRDefault="00DE4299" w:rsidP="00756C58">
            <w:pPr>
              <w:spacing w:line="360" w:lineRule="auto"/>
              <w:rPr>
                <w:rFonts w:ascii="Arial" w:eastAsia="Arial" w:hAnsi="Arial" w:cs="Arial"/>
                <w:sz w:val="20"/>
                <w:szCs w:val="20"/>
              </w:rPr>
            </w:pPr>
            <w:r w:rsidRPr="00A54222">
              <w:rPr>
                <w:rFonts w:ascii="Arial" w:eastAsia="Arial" w:hAnsi="Arial" w:cs="Arial"/>
                <w:sz w:val="20"/>
                <w:szCs w:val="20"/>
              </w:rPr>
              <w:t>Broj (N)</w:t>
            </w:r>
          </w:p>
        </w:tc>
        <w:tc>
          <w:tcPr>
            <w:tcW w:w="3402" w:type="dxa"/>
            <w:tcBorders>
              <w:top w:val="single" w:sz="12" w:space="0" w:color="000000"/>
              <w:bottom w:val="single" w:sz="12" w:space="0" w:color="000000"/>
              <w:right w:val="single" w:sz="12" w:space="0" w:color="000000"/>
            </w:tcBorders>
            <w:shd w:val="clear" w:color="auto" w:fill="D9D9D9"/>
            <w:vAlign w:val="center"/>
          </w:tcPr>
          <w:p w14:paraId="042B9CE3" w14:textId="77777777" w:rsidR="00076856" w:rsidRPr="00A54222" w:rsidRDefault="00DE4299" w:rsidP="00756C58">
            <w:pPr>
              <w:spacing w:line="360" w:lineRule="auto"/>
              <w:rPr>
                <w:rFonts w:ascii="Arial" w:eastAsia="Arial" w:hAnsi="Arial" w:cs="Arial"/>
                <w:sz w:val="20"/>
                <w:szCs w:val="20"/>
              </w:rPr>
            </w:pPr>
            <w:r w:rsidRPr="00A54222">
              <w:rPr>
                <w:rFonts w:ascii="Arial" w:eastAsia="Arial" w:hAnsi="Arial" w:cs="Arial"/>
                <w:sz w:val="20"/>
                <w:szCs w:val="20"/>
              </w:rPr>
              <w:t>Postotak (%)</w:t>
            </w:r>
          </w:p>
        </w:tc>
      </w:tr>
      <w:tr w:rsidR="00076856" w:rsidRPr="00A54222" w14:paraId="7DB4ED3C" w14:textId="77777777">
        <w:trPr>
          <w:trHeight w:val="425"/>
        </w:trPr>
        <w:tc>
          <w:tcPr>
            <w:tcW w:w="2660" w:type="dxa"/>
            <w:tcBorders>
              <w:top w:val="single" w:sz="12" w:space="0" w:color="000000"/>
              <w:left w:val="single" w:sz="12" w:space="0" w:color="000000"/>
            </w:tcBorders>
            <w:vAlign w:val="center"/>
          </w:tcPr>
          <w:p w14:paraId="452D5833" w14:textId="77777777" w:rsidR="00076856" w:rsidRPr="00A54222" w:rsidRDefault="00DE4299" w:rsidP="00756C58">
            <w:pPr>
              <w:spacing w:line="360" w:lineRule="auto"/>
              <w:rPr>
                <w:rFonts w:ascii="Arial" w:eastAsia="Arial" w:hAnsi="Arial" w:cs="Arial"/>
                <w:sz w:val="20"/>
                <w:szCs w:val="20"/>
              </w:rPr>
            </w:pPr>
            <w:r w:rsidRPr="00A54222">
              <w:rPr>
                <w:rFonts w:ascii="Arial" w:eastAsia="Arial" w:hAnsi="Arial" w:cs="Arial"/>
                <w:sz w:val="20"/>
                <w:szCs w:val="20"/>
              </w:rPr>
              <w:t>DA</w:t>
            </w:r>
          </w:p>
        </w:tc>
        <w:tc>
          <w:tcPr>
            <w:tcW w:w="2551" w:type="dxa"/>
            <w:tcBorders>
              <w:top w:val="single" w:sz="12" w:space="0" w:color="000000"/>
            </w:tcBorders>
            <w:vAlign w:val="center"/>
          </w:tcPr>
          <w:p w14:paraId="779D734B" w14:textId="77777777" w:rsidR="00076856" w:rsidRPr="00A54222" w:rsidRDefault="00DE4299" w:rsidP="00756C58">
            <w:pPr>
              <w:spacing w:line="360" w:lineRule="auto"/>
              <w:jc w:val="right"/>
              <w:rPr>
                <w:rFonts w:ascii="Arial" w:eastAsia="Arial" w:hAnsi="Arial" w:cs="Arial"/>
                <w:sz w:val="20"/>
                <w:szCs w:val="20"/>
              </w:rPr>
            </w:pPr>
            <w:r w:rsidRPr="00A54222">
              <w:rPr>
                <w:rFonts w:ascii="Arial" w:eastAsia="Arial" w:hAnsi="Arial" w:cs="Arial"/>
                <w:sz w:val="20"/>
                <w:szCs w:val="20"/>
              </w:rPr>
              <w:t>139</w:t>
            </w:r>
          </w:p>
        </w:tc>
        <w:tc>
          <w:tcPr>
            <w:tcW w:w="3402" w:type="dxa"/>
            <w:tcBorders>
              <w:top w:val="single" w:sz="12" w:space="0" w:color="000000"/>
              <w:right w:val="single" w:sz="12" w:space="0" w:color="000000"/>
            </w:tcBorders>
            <w:vAlign w:val="center"/>
          </w:tcPr>
          <w:p w14:paraId="6E5CEB1F" w14:textId="77777777" w:rsidR="00076856" w:rsidRPr="00A54222" w:rsidRDefault="00DE4299" w:rsidP="00756C58">
            <w:pPr>
              <w:spacing w:line="360" w:lineRule="auto"/>
              <w:jc w:val="right"/>
              <w:rPr>
                <w:rFonts w:ascii="Arial" w:eastAsia="Arial" w:hAnsi="Arial" w:cs="Arial"/>
                <w:sz w:val="20"/>
                <w:szCs w:val="20"/>
              </w:rPr>
            </w:pPr>
            <w:r w:rsidRPr="00A54222">
              <w:rPr>
                <w:rFonts w:ascii="Arial" w:eastAsia="Arial" w:hAnsi="Arial" w:cs="Arial"/>
                <w:sz w:val="20"/>
                <w:szCs w:val="20"/>
              </w:rPr>
              <w:t>9,8</w:t>
            </w:r>
          </w:p>
        </w:tc>
      </w:tr>
      <w:tr w:rsidR="00076856" w:rsidRPr="00A54222" w14:paraId="7316C28D" w14:textId="77777777">
        <w:trPr>
          <w:trHeight w:val="425"/>
        </w:trPr>
        <w:tc>
          <w:tcPr>
            <w:tcW w:w="2660" w:type="dxa"/>
            <w:tcBorders>
              <w:left w:val="single" w:sz="12" w:space="0" w:color="000000"/>
            </w:tcBorders>
            <w:vAlign w:val="center"/>
          </w:tcPr>
          <w:p w14:paraId="20FE0312" w14:textId="77777777" w:rsidR="00076856" w:rsidRPr="00A54222" w:rsidRDefault="00DE4299" w:rsidP="00756C58">
            <w:pPr>
              <w:spacing w:line="360" w:lineRule="auto"/>
              <w:rPr>
                <w:rFonts w:ascii="Arial" w:eastAsia="Arial" w:hAnsi="Arial" w:cs="Arial"/>
                <w:sz w:val="20"/>
                <w:szCs w:val="20"/>
              </w:rPr>
            </w:pPr>
            <w:r w:rsidRPr="00A54222">
              <w:rPr>
                <w:rFonts w:ascii="Arial" w:eastAsia="Arial" w:hAnsi="Arial" w:cs="Arial"/>
                <w:sz w:val="20"/>
                <w:szCs w:val="20"/>
              </w:rPr>
              <w:t>NE</w:t>
            </w:r>
          </w:p>
        </w:tc>
        <w:tc>
          <w:tcPr>
            <w:tcW w:w="2551" w:type="dxa"/>
            <w:vAlign w:val="center"/>
          </w:tcPr>
          <w:p w14:paraId="4BC88F26" w14:textId="77777777" w:rsidR="00076856" w:rsidRPr="00A54222" w:rsidRDefault="00DE4299" w:rsidP="00756C58">
            <w:pPr>
              <w:spacing w:line="360" w:lineRule="auto"/>
              <w:jc w:val="right"/>
              <w:rPr>
                <w:rFonts w:ascii="Arial" w:eastAsia="Arial" w:hAnsi="Arial" w:cs="Arial"/>
                <w:sz w:val="20"/>
                <w:szCs w:val="20"/>
              </w:rPr>
            </w:pPr>
            <w:r w:rsidRPr="00A54222">
              <w:rPr>
                <w:rFonts w:ascii="Arial" w:eastAsia="Arial" w:hAnsi="Arial" w:cs="Arial"/>
                <w:sz w:val="20"/>
                <w:szCs w:val="20"/>
              </w:rPr>
              <w:t>1284</w:t>
            </w:r>
          </w:p>
        </w:tc>
        <w:tc>
          <w:tcPr>
            <w:tcW w:w="3402" w:type="dxa"/>
            <w:tcBorders>
              <w:right w:val="single" w:sz="12" w:space="0" w:color="000000"/>
            </w:tcBorders>
            <w:vAlign w:val="center"/>
          </w:tcPr>
          <w:p w14:paraId="682874D3" w14:textId="77777777" w:rsidR="00076856" w:rsidRPr="00A54222" w:rsidRDefault="00DE4299" w:rsidP="00756C58">
            <w:pPr>
              <w:spacing w:line="360" w:lineRule="auto"/>
              <w:jc w:val="right"/>
              <w:rPr>
                <w:rFonts w:ascii="Arial" w:eastAsia="Arial" w:hAnsi="Arial" w:cs="Arial"/>
                <w:sz w:val="20"/>
                <w:szCs w:val="20"/>
              </w:rPr>
            </w:pPr>
            <w:r w:rsidRPr="00A54222">
              <w:rPr>
                <w:rFonts w:ascii="Arial" w:eastAsia="Arial" w:hAnsi="Arial" w:cs="Arial"/>
                <w:sz w:val="20"/>
                <w:szCs w:val="20"/>
              </w:rPr>
              <w:t>90,2</w:t>
            </w:r>
          </w:p>
        </w:tc>
      </w:tr>
      <w:tr w:rsidR="00076856" w:rsidRPr="00A54222" w14:paraId="5138F6F2" w14:textId="77777777">
        <w:trPr>
          <w:trHeight w:val="425"/>
        </w:trPr>
        <w:tc>
          <w:tcPr>
            <w:tcW w:w="2660" w:type="dxa"/>
            <w:tcBorders>
              <w:top w:val="single" w:sz="12" w:space="0" w:color="000000"/>
              <w:left w:val="single" w:sz="12" w:space="0" w:color="000000"/>
              <w:bottom w:val="single" w:sz="12" w:space="0" w:color="000000"/>
            </w:tcBorders>
            <w:shd w:val="clear" w:color="auto" w:fill="D9D9D9"/>
            <w:vAlign w:val="center"/>
          </w:tcPr>
          <w:p w14:paraId="4B329DBF" w14:textId="77777777" w:rsidR="00076856" w:rsidRPr="00A54222" w:rsidRDefault="00DE4299" w:rsidP="00756C58">
            <w:pPr>
              <w:spacing w:line="360" w:lineRule="auto"/>
              <w:rPr>
                <w:rFonts w:ascii="Arial" w:eastAsia="Arial" w:hAnsi="Arial" w:cs="Arial"/>
                <w:sz w:val="20"/>
                <w:szCs w:val="20"/>
              </w:rPr>
            </w:pPr>
            <w:r w:rsidRPr="00A54222">
              <w:rPr>
                <w:rFonts w:ascii="Arial" w:eastAsia="Arial" w:hAnsi="Arial" w:cs="Arial"/>
                <w:sz w:val="20"/>
                <w:szCs w:val="20"/>
              </w:rPr>
              <w:t>Ukupno</w:t>
            </w:r>
          </w:p>
        </w:tc>
        <w:tc>
          <w:tcPr>
            <w:tcW w:w="2551" w:type="dxa"/>
            <w:tcBorders>
              <w:top w:val="single" w:sz="12" w:space="0" w:color="000000"/>
              <w:bottom w:val="single" w:sz="12" w:space="0" w:color="000000"/>
            </w:tcBorders>
            <w:shd w:val="clear" w:color="auto" w:fill="D9D9D9"/>
            <w:vAlign w:val="center"/>
          </w:tcPr>
          <w:p w14:paraId="6FDA9268" w14:textId="77777777" w:rsidR="00076856" w:rsidRPr="00A54222" w:rsidRDefault="00DE4299" w:rsidP="00756C58">
            <w:pPr>
              <w:spacing w:line="360" w:lineRule="auto"/>
              <w:jc w:val="right"/>
              <w:rPr>
                <w:rFonts w:ascii="Arial" w:eastAsia="Arial" w:hAnsi="Arial" w:cs="Arial"/>
                <w:sz w:val="20"/>
                <w:szCs w:val="20"/>
              </w:rPr>
            </w:pPr>
            <w:r w:rsidRPr="00A54222">
              <w:rPr>
                <w:rFonts w:ascii="Arial" w:eastAsia="Arial" w:hAnsi="Arial" w:cs="Arial"/>
                <w:sz w:val="20"/>
                <w:szCs w:val="20"/>
              </w:rPr>
              <w:t>1423</w:t>
            </w:r>
          </w:p>
        </w:tc>
        <w:tc>
          <w:tcPr>
            <w:tcW w:w="3402" w:type="dxa"/>
            <w:tcBorders>
              <w:top w:val="single" w:sz="12" w:space="0" w:color="000000"/>
              <w:bottom w:val="single" w:sz="12" w:space="0" w:color="000000"/>
              <w:right w:val="single" w:sz="12" w:space="0" w:color="000000"/>
            </w:tcBorders>
            <w:shd w:val="clear" w:color="auto" w:fill="D9D9D9"/>
            <w:vAlign w:val="center"/>
          </w:tcPr>
          <w:p w14:paraId="2F2FA0CF" w14:textId="77777777" w:rsidR="00076856" w:rsidRPr="00A54222" w:rsidRDefault="00DE4299" w:rsidP="00756C58">
            <w:pPr>
              <w:spacing w:line="360" w:lineRule="auto"/>
              <w:jc w:val="right"/>
              <w:rPr>
                <w:rFonts w:ascii="Arial" w:eastAsia="Arial" w:hAnsi="Arial" w:cs="Arial"/>
                <w:sz w:val="20"/>
                <w:szCs w:val="20"/>
              </w:rPr>
            </w:pPr>
            <w:r w:rsidRPr="00A54222">
              <w:rPr>
                <w:rFonts w:ascii="Arial" w:eastAsia="Arial" w:hAnsi="Arial" w:cs="Arial"/>
                <w:sz w:val="20"/>
                <w:szCs w:val="20"/>
              </w:rPr>
              <w:t>100,0</w:t>
            </w:r>
          </w:p>
        </w:tc>
      </w:tr>
    </w:tbl>
    <w:p w14:paraId="11668246" w14:textId="77777777" w:rsidR="00076856" w:rsidRDefault="00076856" w:rsidP="00756C58">
      <w:pPr>
        <w:pBdr>
          <w:top w:val="nil"/>
          <w:left w:val="nil"/>
          <w:bottom w:val="nil"/>
          <w:right w:val="nil"/>
          <w:between w:val="nil"/>
        </w:pBdr>
        <w:spacing w:line="360" w:lineRule="auto"/>
        <w:rPr>
          <w:rFonts w:ascii="Arial" w:eastAsia="Arial" w:hAnsi="Arial" w:cs="Arial"/>
          <w:b/>
        </w:rPr>
      </w:pPr>
    </w:p>
    <w:p w14:paraId="24A08189" w14:textId="77777777" w:rsidR="00076856" w:rsidRDefault="00DE4299" w:rsidP="00756C58">
      <w:pPr>
        <w:pStyle w:val="Heading2"/>
        <w:numPr>
          <w:ilvl w:val="1"/>
          <w:numId w:val="1"/>
        </w:numPr>
        <w:spacing w:before="240" w:after="240" w:line="360" w:lineRule="auto"/>
        <w:ind w:firstLine="0"/>
        <w:rPr>
          <w:rFonts w:ascii="Arial" w:eastAsia="Arial" w:hAnsi="Arial" w:cs="Arial"/>
          <w:sz w:val="24"/>
          <w:szCs w:val="24"/>
        </w:rPr>
      </w:pPr>
      <w:bookmarkStart w:id="24" w:name="_heading=h.5ukxd39l08df" w:colFirst="0" w:colLast="0"/>
      <w:bookmarkStart w:id="25" w:name="_Toc75635804"/>
      <w:bookmarkEnd w:id="24"/>
      <w:r>
        <w:rPr>
          <w:rFonts w:ascii="Arial" w:eastAsia="Arial" w:hAnsi="Arial" w:cs="Arial"/>
          <w:sz w:val="24"/>
          <w:szCs w:val="24"/>
        </w:rPr>
        <w:t>Treće pitanje: Koje biste se cigarete  najteže odrekli?</w:t>
      </w:r>
      <w:bookmarkEnd w:id="25"/>
    </w:p>
    <w:p w14:paraId="3C9630E6" w14:textId="77777777" w:rsidR="00076856" w:rsidRPr="00A54222" w:rsidRDefault="00DE4299" w:rsidP="00756C58">
      <w:pPr>
        <w:spacing w:before="240" w:after="240" w:line="360" w:lineRule="auto"/>
        <w:jc w:val="both"/>
        <w:rPr>
          <w:rFonts w:ascii="Arial" w:eastAsia="Arial" w:hAnsi="Arial" w:cs="Arial"/>
          <w:sz w:val="20"/>
        </w:rPr>
      </w:pPr>
      <w:r w:rsidRPr="00A54222">
        <w:rPr>
          <w:rFonts w:ascii="Arial" w:eastAsia="Arial" w:hAnsi="Arial" w:cs="Arial"/>
          <w:sz w:val="20"/>
        </w:rPr>
        <w:t>Prilikom statističke obrade odgovora na pitanje “Koje biste se cigarete najteže odrekli?” (prve jutarnje / bilo koje) pronađena je statistički značajna razlika s obzirom na spol (ꭓ</w:t>
      </w:r>
      <w:r w:rsidRPr="00A54222">
        <w:rPr>
          <w:rFonts w:ascii="Arial" w:eastAsia="Arial" w:hAnsi="Arial" w:cs="Arial"/>
          <w:sz w:val="20"/>
          <w:vertAlign w:val="superscript"/>
        </w:rPr>
        <w:t>2</w:t>
      </w:r>
      <w:r w:rsidRPr="00A54222">
        <w:rPr>
          <w:rFonts w:ascii="Arial" w:eastAsia="Arial" w:hAnsi="Arial" w:cs="Arial"/>
          <w:sz w:val="20"/>
        </w:rPr>
        <w:t>= 5,036; df = 1; P = 0,21 uz Yatesovu korekciju; V = 0,061 ), tip studija (ꭓ</w:t>
      </w:r>
      <w:r w:rsidRPr="00A54222">
        <w:rPr>
          <w:rFonts w:ascii="Arial" w:eastAsia="Arial" w:hAnsi="Arial" w:cs="Arial"/>
          <w:sz w:val="20"/>
          <w:vertAlign w:val="superscript"/>
        </w:rPr>
        <w:t>2</w:t>
      </w:r>
      <w:r w:rsidRPr="00A54222">
        <w:rPr>
          <w:rFonts w:ascii="Arial" w:eastAsia="Arial" w:hAnsi="Arial" w:cs="Arial"/>
          <w:sz w:val="20"/>
        </w:rPr>
        <w:t>= 6,854; df = 1; P = 0,009 uz Yatesovu korekciju; V = 0,069) i  područje studija (ꭓ</w:t>
      </w:r>
      <w:r w:rsidRPr="00A54222">
        <w:rPr>
          <w:rFonts w:ascii="Arial" w:eastAsia="Arial" w:hAnsi="Arial" w:cs="Arial"/>
          <w:sz w:val="20"/>
          <w:vertAlign w:val="superscript"/>
        </w:rPr>
        <w:t>2</w:t>
      </w:r>
      <w:r w:rsidRPr="00A54222">
        <w:rPr>
          <w:rFonts w:ascii="Arial" w:eastAsia="Arial" w:hAnsi="Arial" w:cs="Arial"/>
          <w:sz w:val="20"/>
        </w:rPr>
        <w:t>= 7,041; df = 2; P = 0,030; V = 0,070). Pokazalo se da bi se muškarci teže odrekli prve jutarnje cigarete (37,7%) nego žene (31,0%) te da studenti medicine rjeđe odabiru prvu jutarnju cigaretu kao onu koje bi se najteže odrekli (27,8%) naspram ostalih studenata (34,9%). Osim toga je među studentima ne-medicinskih područja utvrđeno da bi se studenti društveno-humanističkog područja (35,1%) teže odrekli prve jutarnje nego studenti umjetničkog područja (33,0%). Ti su rezultati prikazani u Grafičkom prikazu 4.</w:t>
      </w:r>
    </w:p>
    <w:p w14:paraId="68DEB002" w14:textId="77777777" w:rsidR="00076856" w:rsidRDefault="00DE4299" w:rsidP="00756C58">
      <w:pPr>
        <w:spacing w:before="240" w:after="240" w:line="360" w:lineRule="auto"/>
        <w:jc w:val="center"/>
        <w:rPr>
          <w:rFonts w:ascii="Arial" w:eastAsia="Arial" w:hAnsi="Arial" w:cs="Arial"/>
        </w:rPr>
      </w:pPr>
      <w:r>
        <w:rPr>
          <w:rFonts w:ascii="Arial" w:eastAsia="Arial" w:hAnsi="Arial" w:cs="Arial"/>
          <w:noProof/>
        </w:rPr>
        <w:lastRenderedPageBreak/>
        <w:drawing>
          <wp:inline distT="114300" distB="114300" distL="114300" distR="114300" wp14:anchorId="27497D8E" wp14:editId="37B0421C">
            <wp:extent cx="4210050" cy="2114550"/>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l="7201" t="14010" r="43579" b="26187"/>
                    <a:stretch>
                      <a:fillRect/>
                    </a:stretch>
                  </pic:blipFill>
                  <pic:spPr>
                    <a:xfrm>
                      <a:off x="0" y="0"/>
                      <a:ext cx="4210321" cy="2114686"/>
                    </a:xfrm>
                    <a:prstGeom prst="rect">
                      <a:avLst/>
                    </a:prstGeom>
                    <a:ln/>
                  </pic:spPr>
                </pic:pic>
              </a:graphicData>
            </a:graphic>
          </wp:inline>
        </w:drawing>
      </w:r>
    </w:p>
    <w:p w14:paraId="42132F5E" w14:textId="77777777" w:rsidR="00076856" w:rsidRPr="006D15B2" w:rsidRDefault="00DE4299" w:rsidP="00756C58">
      <w:pPr>
        <w:spacing w:before="240" w:after="240" w:line="360" w:lineRule="auto"/>
        <w:rPr>
          <w:rFonts w:ascii="Arial" w:eastAsia="Arial" w:hAnsi="Arial" w:cs="Arial"/>
          <w:i/>
          <w:sz w:val="20"/>
        </w:rPr>
      </w:pPr>
      <w:r w:rsidRPr="006D15B2">
        <w:rPr>
          <w:rFonts w:ascii="Arial" w:eastAsia="Arial" w:hAnsi="Arial" w:cs="Arial"/>
          <w:b/>
          <w:i/>
          <w:sz w:val="20"/>
        </w:rPr>
        <w:t>Grafički prikaz 4.</w:t>
      </w:r>
      <w:r w:rsidRPr="006D15B2">
        <w:rPr>
          <w:rFonts w:ascii="Arial" w:eastAsia="Arial" w:hAnsi="Arial" w:cs="Arial"/>
          <w:b/>
          <w:i/>
          <w:sz w:val="20"/>
        </w:rPr>
        <w:tab/>
      </w:r>
      <w:r w:rsidRPr="006D15B2">
        <w:rPr>
          <w:rFonts w:ascii="Arial" w:eastAsia="Arial" w:hAnsi="Arial" w:cs="Arial"/>
          <w:i/>
          <w:sz w:val="20"/>
        </w:rPr>
        <w:t>Raspodjela odgovora na treće pitanje prema području studija</w:t>
      </w:r>
    </w:p>
    <w:p w14:paraId="750CFF8A" w14:textId="77777777" w:rsidR="00756C58" w:rsidRDefault="00756C58" w:rsidP="00756C58">
      <w:pPr>
        <w:spacing w:before="240" w:after="240" w:line="360" w:lineRule="auto"/>
        <w:rPr>
          <w:rFonts w:ascii="Arial" w:eastAsia="Arial" w:hAnsi="Arial" w:cs="Arial"/>
          <w:i/>
        </w:rPr>
      </w:pPr>
    </w:p>
    <w:p w14:paraId="0EB43B89" w14:textId="77777777" w:rsidR="00076856" w:rsidRDefault="00DE4299" w:rsidP="00756C58">
      <w:pPr>
        <w:pStyle w:val="Heading2"/>
        <w:numPr>
          <w:ilvl w:val="1"/>
          <w:numId w:val="1"/>
        </w:numPr>
        <w:spacing w:before="240" w:after="240" w:line="360" w:lineRule="auto"/>
        <w:ind w:firstLine="0"/>
        <w:rPr>
          <w:rFonts w:ascii="Arial" w:eastAsia="Arial" w:hAnsi="Arial" w:cs="Arial"/>
          <w:sz w:val="24"/>
          <w:szCs w:val="24"/>
        </w:rPr>
      </w:pPr>
      <w:bookmarkStart w:id="26" w:name="_heading=h.a18u3qohxfn5" w:colFirst="0" w:colLast="0"/>
      <w:bookmarkStart w:id="27" w:name="_Toc75635805"/>
      <w:bookmarkEnd w:id="26"/>
      <w:r>
        <w:rPr>
          <w:rFonts w:ascii="Arial" w:eastAsia="Arial" w:hAnsi="Arial" w:cs="Arial"/>
          <w:sz w:val="24"/>
          <w:szCs w:val="24"/>
        </w:rPr>
        <w:t>Četvrto pitanje: Koliko cigareta dnevno popušite?</w:t>
      </w:r>
      <w:bookmarkEnd w:id="27"/>
      <w:r>
        <w:rPr>
          <w:rFonts w:ascii="Arial" w:eastAsia="Arial" w:hAnsi="Arial" w:cs="Arial"/>
          <w:sz w:val="24"/>
          <w:szCs w:val="24"/>
        </w:rPr>
        <w:t xml:space="preserve"> </w:t>
      </w:r>
    </w:p>
    <w:p w14:paraId="335CA78D" w14:textId="77777777" w:rsidR="00076856" w:rsidRPr="006D15B2" w:rsidRDefault="00DE4299" w:rsidP="00756C58">
      <w:pPr>
        <w:spacing w:before="240" w:after="240" w:line="360" w:lineRule="auto"/>
        <w:jc w:val="both"/>
        <w:rPr>
          <w:rFonts w:ascii="Arial" w:eastAsia="Arial" w:hAnsi="Arial" w:cs="Arial"/>
          <w:sz w:val="20"/>
        </w:rPr>
      </w:pPr>
      <w:r w:rsidRPr="006D15B2">
        <w:rPr>
          <w:rFonts w:ascii="Arial" w:eastAsia="Arial" w:hAnsi="Arial" w:cs="Arial"/>
          <w:sz w:val="20"/>
        </w:rPr>
        <w:t>Otprilike dvije trećine ispitanika (66,7%) dnevno puši 10 cigareta ili manje, a skoro 95% njih puši 20 cigareta ili manje. Tek 5,7% ispitanika puši više od 20 cigareta (više od jedne kutije) dnevno, od čega 5,1% puši 21-30 cigareta, a 0,6% dnevno puši 31 cigaretu ili više.</w:t>
      </w:r>
    </w:p>
    <w:p w14:paraId="04948938" w14:textId="5C179FD5" w:rsidR="00076856" w:rsidRPr="006D15B2" w:rsidRDefault="00DE4299" w:rsidP="00756C58">
      <w:pPr>
        <w:spacing w:before="240" w:after="240" w:line="360" w:lineRule="auto"/>
        <w:rPr>
          <w:rFonts w:ascii="Arial" w:eastAsia="Arial" w:hAnsi="Arial" w:cs="Arial"/>
          <w:b/>
          <w:sz w:val="20"/>
        </w:rPr>
      </w:pPr>
      <w:r w:rsidRPr="006D15B2">
        <w:rPr>
          <w:rFonts w:ascii="Arial" w:eastAsia="Arial" w:hAnsi="Arial" w:cs="Arial"/>
          <w:b/>
          <w:sz w:val="20"/>
        </w:rPr>
        <w:t xml:space="preserve">Tablica 7. </w:t>
      </w:r>
      <w:r w:rsidRPr="006D15B2">
        <w:rPr>
          <w:rFonts w:ascii="Arial" w:eastAsia="Arial" w:hAnsi="Arial" w:cs="Arial"/>
          <w:sz w:val="20"/>
        </w:rPr>
        <w:tab/>
        <w:t xml:space="preserve">Odgovori ispitanika na četvrto pitanje </w:t>
      </w:r>
    </w:p>
    <w:tbl>
      <w:tblPr>
        <w:tblStyle w:val="af9"/>
        <w:tblW w:w="8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5"/>
        <w:gridCol w:w="1100"/>
        <w:gridCol w:w="1655"/>
        <w:gridCol w:w="2955"/>
      </w:tblGrid>
      <w:tr w:rsidR="00076856" w:rsidRPr="006D15B2" w14:paraId="5202D2D6" w14:textId="77777777" w:rsidTr="006D15B2">
        <w:trPr>
          <w:trHeight w:val="324"/>
        </w:trPr>
        <w:tc>
          <w:tcPr>
            <w:tcW w:w="2495" w:type="dxa"/>
            <w:tcBorders>
              <w:top w:val="single" w:sz="12" w:space="0" w:color="000000"/>
              <w:left w:val="single" w:sz="12" w:space="0" w:color="000000"/>
              <w:bottom w:val="single" w:sz="12" w:space="0" w:color="000000"/>
            </w:tcBorders>
            <w:shd w:val="clear" w:color="auto" w:fill="D9D9D9"/>
            <w:vAlign w:val="center"/>
          </w:tcPr>
          <w:p w14:paraId="5160D746" w14:textId="77777777" w:rsidR="00076856" w:rsidRPr="006D15B2" w:rsidRDefault="00DE4299" w:rsidP="00756C58">
            <w:pPr>
              <w:spacing w:line="360" w:lineRule="auto"/>
              <w:rPr>
                <w:rFonts w:ascii="Arial" w:eastAsia="Arial" w:hAnsi="Arial" w:cs="Arial"/>
                <w:sz w:val="20"/>
                <w:szCs w:val="20"/>
              </w:rPr>
            </w:pPr>
            <w:r w:rsidRPr="006D15B2">
              <w:rPr>
                <w:rFonts w:ascii="Arial" w:eastAsia="Arial" w:hAnsi="Arial" w:cs="Arial"/>
                <w:sz w:val="20"/>
                <w:szCs w:val="20"/>
              </w:rPr>
              <w:t>Broj cigareta dnevno</w:t>
            </w:r>
          </w:p>
        </w:tc>
        <w:tc>
          <w:tcPr>
            <w:tcW w:w="1100" w:type="dxa"/>
            <w:tcBorders>
              <w:top w:val="single" w:sz="12" w:space="0" w:color="000000"/>
              <w:bottom w:val="single" w:sz="12" w:space="0" w:color="000000"/>
            </w:tcBorders>
            <w:shd w:val="clear" w:color="auto" w:fill="D9D9D9"/>
            <w:vAlign w:val="center"/>
          </w:tcPr>
          <w:p w14:paraId="0B2F7F89" w14:textId="77777777" w:rsidR="00076856" w:rsidRPr="006D15B2" w:rsidRDefault="00DE4299" w:rsidP="00756C58">
            <w:pPr>
              <w:spacing w:line="360" w:lineRule="auto"/>
              <w:rPr>
                <w:rFonts w:ascii="Arial" w:eastAsia="Arial" w:hAnsi="Arial" w:cs="Arial"/>
                <w:sz w:val="20"/>
                <w:szCs w:val="20"/>
              </w:rPr>
            </w:pPr>
            <w:r w:rsidRPr="006D15B2">
              <w:rPr>
                <w:rFonts w:ascii="Arial" w:eastAsia="Arial" w:hAnsi="Arial" w:cs="Arial"/>
                <w:sz w:val="20"/>
                <w:szCs w:val="20"/>
              </w:rPr>
              <w:t>Broj (N)</w:t>
            </w:r>
          </w:p>
        </w:tc>
        <w:tc>
          <w:tcPr>
            <w:tcW w:w="1655" w:type="dxa"/>
            <w:tcBorders>
              <w:top w:val="single" w:sz="12" w:space="0" w:color="000000"/>
              <w:bottom w:val="single" w:sz="12" w:space="0" w:color="000000"/>
              <w:right w:val="single" w:sz="12" w:space="0" w:color="000000"/>
            </w:tcBorders>
            <w:shd w:val="clear" w:color="auto" w:fill="D9D9D9"/>
            <w:vAlign w:val="center"/>
          </w:tcPr>
          <w:p w14:paraId="383C5BD9" w14:textId="77777777" w:rsidR="00076856" w:rsidRPr="006D15B2" w:rsidRDefault="00DE4299" w:rsidP="00756C58">
            <w:pPr>
              <w:spacing w:line="360" w:lineRule="auto"/>
              <w:rPr>
                <w:rFonts w:ascii="Arial" w:eastAsia="Arial" w:hAnsi="Arial" w:cs="Arial"/>
                <w:sz w:val="20"/>
                <w:szCs w:val="20"/>
              </w:rPr>
            </w:pPr>
            <w:r w:rsidRPr="006D15B2">
              <w:rPr>
                <w:rFonts w:ascii="Arial" w:eastAsia="Arial" w:hAnsi="Arial" w:cs="Arial"/>
                <w:sz w:val="20"/>
                <w:szCs w:val="20"/>
              </w:rPr>
              <w:t>Postotak (%)</w:t>
            </w:r>
          </w:p>
        </w:tc>
        <w:tc>
          <w:tcPr>
            <w:tcW w:w="2955" w:type="dxa"/>
            <w:tcBorders>
              <w:top w:val="single" w:sz="12" w:space="0" w:color="000000"/>
              <w:bottom w:val="single" w:sz="12" w:space="0" w:color="000000"/>
              <w:right w:val="single" w:sz="12" w:space="0" w:color="000000"/>
            </w:tcBorders>
            <w:shd w:val="clear" w:color="auto" w:fill="D9D9D9"/>
            <w:vAlign w:val="center"/>
          </w:tcPr>
          <w:p w14:paraId="7E9C6CB2" w14:textId="77777777" w:rsidR="00076856" w:rsidRPr="006D15B2" w:rsidRDefault="00DE4299" w:rsidP="00756C58">
            <w:pPr>
              <w:spacing w:line="360" w:lineRule="auto"/>
              <w:rPr>
                <w:rFonts w:ascii="Arial" w:eastAsia="Arial" w:hAnsi="Arial" w:cs="Arial"/>
                <w:sz w:val="20"/>
                <w:szCs w:val="20"/>
              </w:rPr>
            </w:pPr>
            <w:r w:rsidRPr="006D15B2">
              <w:rPr>
                <w:rFonts w:ascii="Arial" w:eastAsia="Arial" w:hAnsi="Arial" w:cs="Arial"/>
                <w:sz w:val="20"/>
                <w:szCs w:val="20"/>
              </w:rPr>
              <w:t>Kumulativni postotak (%)</w:t>
            </w:r>
          </w:p>
        </w:tc>
      </w:tr>
      <w:tr w:rsidR="00076856" w:rsidRPr="006D15B2" w14:paraId="73249367" w14:textId="77777777" w:rsidTr="006D15B2">
        <w:trPr>
          <w:trHeight w:val="139"/>
        </w:trPr>
        <w:tc>
          <w:tcPr>
            <w:tcW w:w="2495" w:type="dxa"/>
            <w:tcBorders>
              <w:top w:val="single" w:sz="12" w:space="0" w:color="000000"/>
              <w:left w:val="single" w:sz="12" w:space="0" w:color="000000"/>
            </w:tcBorders>
          </w:tcPr>
          <w:p w14:paraId="515F446B" w14:textId="77777777" w:rsidR="00076856" w:rsidRPr="006D15B2" w:rsidRDefault="00DE4299" w:rsidP="00756C58">
            <w:pPr>
              <w:spacing w:line="360" w:lineRule="auto"/>
              <w:rPr>
                <w:rFonts w:ascii="Arial" w:eastAsia="Arial" w:hAnsi="Arial" w:cs="Arial"/>
                <w:sz w:val="20"/>
                <w:szCs w:val="20"/>
              </w:rPr>
            </w:pPr>
            <w:r w:rsidRPr="006D15B2">
              <w:rPr>
                <w:rFonts w:ascii="Arial" w:eastAsia="Arial" w:hAnsi="Arial" w:cs="Arial"/>
                <w:color w:val="264A60"/>
                <w:sz w:val="20"/>
                <w:szCs w:val="20"/>
              </w:rPr>
              <w:t>10 ili manje</w:t>
            </w:r>
          </w:p>
        </w:tc>
        <w:tc>
          <w:tcPr>
            <w:tcW w:w="1100" w:type="dxa"/>
            <w:tcBorders>
              <w:top w:val="single" w:sz="12" w:space="0" w:color="000000"/>
            </w:tcBorders>
          </w:tcPr>
          <w:p w14:paraId="4ED08D32" w14:textId="77777777" w:rsidR="00076856" w:rsidRPr="006D15B2" w:rsidRDefault="00DE4299" w:rsidP="00756C58">
            <w:pPr>
              <w:spacing w:line="360" w:lineRule="auto"/>
              <w:jc w:val="right"/>
              <w:rPr>
                <w:rFonts w:ascii="Arial" w:eastAsia="Arial" w:hAnsi="Arial" w:cs="Arial"/>
                <w:sz w:val="20"/>
                <w:szCs w:val="20"/>
              </w:rPr>
            </w:pPr>
            <w:r w:rsidRPr="006D15B2">
              <w:rPr>
                <w:rFonts w:ascii="Arial" w:eastAsia="Arial" w:hAnsi="Arial" w:cs="Arial"/>
                <w:color w:val="010205"/>
                <w:sz w:val="20"/>
                <w:szCs w:val="20"/>
              </w:rPr>
              <w:t>949</w:t>
            </w:r>
          </w:p>
        </w:tc>
        <w:tc>
          <w:tcPr>
            <w:tcW w:w="1655" w:type="dxa"/>
            <w:tcBorders>
              <w:top w:val="single" w:sz="12" w:space="0" w:color="000000"/>
              <w:right w:val="single" w:sz="12" w:space="0" w:color="000000"/>
            </w:tcBorders>
          </w:tcPr>
          <w:p w14:paraId="31C58637" w14:textId="77777777" w:rsidR="00076856" w:rsidRPr="006D15B2" w:rsidRDefault="00DE4299" w:rsidP="00756C58">
            <w:pPr>
              <w:spacing w:line="360" w:lineRule="auto"/>
              <w:jc w:val="right"/>
              <w:rPr>
                <w:rFonts w:ascii="Arial" w:eastAsia="Arial" w:hAnsi="Arial" w:cs="Arial"/>
                <w:sz w:val="20"/>
                <w:szCs w:val="20"/>
              </w:rPr>
            </w:pPr>
            <w:r w:rsidRPr="006D15B2">
              <w:rPr>
                <w:rFonts w:ascii="Arial" w:eastAsia="Arial" w:hAnsi="Arial" w:cs="Arial"/>
                <w:color w:val="010205"/>
                <w:sz w:val="20"/>
                <w:szCs w:val="20"/>
              </w:rPr>
              <w:t>66,7</w:t>
            </w:r>
          </w:p>
        </w:tc>
        <w:tc>
          <w:tcPr>
            <w:tcW w:w="2955" w:type="dxa"/>
            <w:tcBorders>
              <w:top w:val="single" w:sz="12" w:space="0" w:color="000000"/>
              <w:right w:val="single" w:sz="12" w:space="0" w:color="000000"/>
            </w:tcBorders>
          </w:tcPr>
          <w:p w14:paraId="01BAB7AA" w14:textId="77777777" w:rsidR="00076856" w:rsidRPr="006D15B2" w:rsidRDefault="00DE4299" w:rsidP="00756C58">
            <w:pPr>
              <w:spacing w:line="360" w:lineRule="auto"/>
              <w:jc w:val="right"/>
              <w:rPr>
                <w:rFonts w:ascii="Arial" w:eastAsia="Arial" w:hAnsi="Arial" w:cs="Arial"/>
                <w:color w:val="010205"/>
                <w:sz w:val="20"/>
                <w:szCs w:val="20"/>
              </w:rPr>
            </w:pPr>
            <w:r w:rsidRPr="006D15B2">
              <w:rPr>
                <w:rFonts w:ascii="Arial" w:eastAsia="Arial" w:hAnsi="Arial" w:cs="Arial"/>
                <w:color w:val="010205"/>
                <w:sz w:val="20"/>
                <w:szCs w:val="20"/>
              </w:rPr>
              <w:t>66,7</w:t>
            </w:r>
          </w:p>
        </w:tc>
      </w:tr>
      <w:tr w:rsidR="00076856" w:rsidRPr="006D15B2" w14:paraId="4F639B03" w14:textId="77777777" w:rsidTr="006D15B2">
        <w:trPr>
          <w:trHeight w:val="139"/>
        </w:trPr>
        <w:tc>
          <w:tcPr>
            <w:tcW w:w="2495" w:type="dxa"/>
            <w:tcBorders>
              <w:left w:val="single" w:sz="12" w:space="0" w:color="000000"/>
            </w:tcBorders>
          </w:tcPr>
          <w:p w14:paraId="5D37BB6C" w14:textId="77777777" w:rsidR="00076856" w:rsidRPr="006D15B2" w:rsidRDefault="00DE4299" w:rsidP="00756C58">
            <w:pPr>
              <w:spacing w:line="360" w:lineRule="auto"/>
              <w:rPr>
                <w:rFonts w:ascii="Arial" w:eastAsia="Arial" w:hAnsi="Arial" w:cs="Arial"/>
                <w:sz w:val="20"/>
                <w:szCs w:val="20"/>
              </w:rPr>
            </w:pPr>
            <w:r w:rsidRPr="006D15B2">
              <w:rPr>
                <w:rFonts w:ascii="Arial" w:eastAsia="Arial" w:hAnsi="Arial" w:cs="Arial"/>
                <w:color w:val="264A60"/>
                <w:sz w:val="20"/>
                <w:szCs w:val="20"/>
              </w:rPr>
              <w:t>11-20</w:t>
            </w:r>
          </w:p>
        </w:tc>
        <w:tc>
          <w:tcPr>
            <w:tcW w:w="1100" w:type="dxa"/>
          </w:tcPr>
          <w:p w14:paraId="3E1E0975" w14:textId="77777777" w:rsidR="00076856" w:rsidRPr="006D15B2" w:rsidRDefault="00DE4299" w:rsidP="00756C58">
            <w:pPr>
              <w:spacing w:line="360" w:lineRule="auto"/>
              <w:jc w:val="right"/>
              <w:rPr>
                <w:rFonts w:ascii="Arial" w:eastAsia="Arial" w:hAnsi="Arial" w:cs="Arial"/>
                <w:sz w:val="20"/>
                <w:szCs w:val="20"/>
              </w:rPr>
            </w:pPr>
            <w:r w:rsidRPr="006D15B2">
              <w:rPr>
                <w:rFonts w:ascii="Arial" w:eastAsia="Arial" w:hAnsi="Arial" w:cs="Arial"/>
                <w:color w:val="010205"/>
                <w:sz w:val="20"/>
                <w:szCs w:val="20"/>
              </w:rPr>
              <w:t>393</w:t>
            </w:r>
          </w:p>
        </w:tc>
        <w:tc>
          <w:tcPr>
            <w:tcW w:w="1655" w:type="dxa"/>
            <w:tcBorders>
              <w:right w:val="single" w:sz="12" w:space="0" w:color="000000"/>
            </w:tcBorders>
          </w:tcPr>
          <w:p w14:paraId="215DA493" w14:textId="77777777" w:rsidR="00076856" w:rsidRPr="006D15B2" w:rsidRDefault="00DE4299" w:rsidP="00756C58">
            <w:pPr>
              <w:spacing w:line="360" w:lineRule="auto"/>
              <w:jc w:val="right"/>
              <w:rPr>
                <w:rFonts w:ascii="Arial" w:eastAsia="Arial" w:hAnsi="Arial" w:cs="Arial"/>
                <w:sz w:val="20"/>
                <w:szCs w:val="20"/>
              </w:rPr>
            </w:pPr>
            <w:r w:rsidRPr="006D15B2">
              <w:rPr>
                <w:rFonts w:ascii="Arial" w:eastAsia="Arial" w:hAnsi="Arial" w:cs="Arial"/>
                <w:color w:val="010205"/>
                <w:sz w:val="20"/>
                <w:szCs w:val="20"/>
              </w:rPr>
              <w:t>27,6</w:t>
            </w:r>
          </w:p>
        </w:tc>
        <w:tc>
          <w:tcPr>
            <w:tcW w:w="2955" w:type="dxa"/>
            <w:tcBorders>
              <w:right w:val="single" w:sz="12" w:space="0" w:color="000000"/>
            </w:tcBorders>
          </w:tcPr>
          <w:p w14:paraId="207F516E" w14:textId="77777777" w:rsidR="00076856" w:rsidRPr="006D15B2" w:rsidRDefault="00DE4299" w:rsidP="00756C58">
            <w:pPr>
              <w:spacing w:line="360" w:lineRule="auto"/>
              <w:jc w:val="right"/>
              <w:rPr>
                <w:rFonts w:ascii="Arial" w:eastAsia="Arial" w:hAnsi="Arial" w:cs="Arial"/>
                <w:color w:val="010205"/>
                <w:sz w:val="20"/>
                <w:szCs w:val="20"/>
              </w:rPr>
            </w:pPr>
            <w:r w:rsidRPr="006D15B2">
              <w:rPr>
                <w:rFonts w:ascii="Arial" w:eastAsia="Arial" w:hAnsi="Arial" w:cs="Arial"/>
                <w:color w:val="010205"/>
                <w:sz w:val="20"/>
                <w:szCs w:val="20"/>
              </w:rPr>
              <w:t>94,3</w:t>
            </w:r>
          </w:p>
        </w:tc>
      </w:tr>
      <w:tr w:rsidR="00076856" w:rsidRPr="006D15B2" w14:paraId="6801F157" w14:textId="77777777" w:rsidTr="006D15B2">
        <w:trPr>
          <w:trHeight w:val="139"/>
        </w:trPr>
        <w:tc>
          <w:tcPr>
            <w:tcW w:w="2495" w:type="dxa"/>
            <w:tcBorders>
              <w:left w:val="single" w:sz="12" w:space="0" w:color="000000"/>
            </w:tcBorders>
          </w:tcPr>
          <w:p w14:paraId="3B3EA8D1" w14:textId="77777777" w:rsidR="00076856" w:rsidRPr="006D15B2" w:rsidRDefault="00DE4299" w:rsidP="00756C58">
            <w:pPr>
              <w:spacing w:line="360" w:lineRule="auto"/>
              <w:rPr>
                <w:rFonts w:ascii="Arial" w:eastAsia="Arial" w:hAnsi="Arial" w:cs="Arial"/>
                <w:sz w:val="20"/>
                <w:szCs w:val="20"/>
              </w:rPr>
            </w:pPr>
            <w:r w:rsidRPr="006D15B2">
              <w:rPr>
                <w:rFonts w:ascii="Arial" w:eastAsia="Arial" w:hAnsi="Arial" w:cs="Arial"/>
                <w:color w:val="264A60"/>
                <w:sz w:val="20"/>
                <w:szCs w:val="20"/>
              </w:rPr>
              <w:t>21-30</w:t>
            </w:r>
          </w:p>
        </w:tc>
        <w:tc>
          <w:tcPr>
            <w:tcW w:w="1100" w:type="dxa"/>
          </w:tcPr>
          <w:p w14:paraId="6DDF34E3" w14:textId="77777777" w:rsidR="00076856" w:rsidRPr="006D15B2" w:rsidRDefault="00DE4299" w:rsidP="00756C58">
            <w:pPr>
              <w:spacing w:line="360" w:lineRule="auto"/>
              <w:jc w:val="right"/>
              <w:rPr>
                <w:rFonts w:ascii="Arial" w:eastAsia="Arial" w:hAnsi="Arial" w:cs="Arial"/>
                <w:sz w:val="20"/>
                <w:szCs w:val="20"/>
              </w:rPr>
            </w:pPr>
            <w:r w:rsidRPr="006D15B2">
              <w:rPr>
                <w:rFonts w:ascii="Arial" w:eastAsia="Arial" w:hAnsi="Arial" w:cs="Arial"/>
                <w:color w:val="010205"/>
                <w:sz w:val="20"/>
                <w:szCs w:val="20"/>
              </w:rPr>
              <w:t>73</w:t>
            </w:r>
          </w:p>
        </w:tc>
        <w:tc>
          <w:tcPr>
            <w:tcW w:w="1655" w:type="dxa"/>
            <w:tcBorders>
              <w:right w:val="single" w:sz="12" w:space="0" w:color="000000"/>
            </w:tcBorders>
          </w:tcPr>
          <w:p w14:paraId="26FCD5F0" w14:textId="77777777" w:rsidR="00076856" w:rsidRPr="006D15B2" w:rsidRDefault="00DE4299" w:rsidP="00756C58">
            <w:pPr>
              <w:spacing w:line="360" w:lineRule="auto"/>
              <w:jc w:val="right"/>
              <w:rPr>
                <w:rFonts w:ascii="Arial" w:eastAsia="Arial" w:hAnsi="Arial" w:cs="Arial"/>
                <w:sz w:val="20"/>
                <w:szCs w:val="20"/>
              </w:rPr>
            </w:pPr>
            <w:r w:rsidRPr="006D15B2">
              <w:rPr>
                <w:rFonts w:ascii="Arial" w:eastAsia="Arial" w:hAnsi="Arial" w:cs="Arial"/>
                <w:color w:val="010205"/>
                <w:sz w:val="20"/>
                <w:szCs w:val="20"/>
              </w:rPr>
              <w:t>5,1</w:t>
            </w:r>
          </w:p>
        </w:tc>
        <w:tc>
          <w:tcPr>
            <w:tcW w:w="2955" w:type="dxa"/>
            <w:tcBorders>
              <w:right w:val="single" w:sz="12" w:space="0" w:color="000000"/>
            </w:tcBorders>
          </w:tcPr>
          <w:p w14:paraId="4CA81A33" w14:textId="77777777" w:rsidR="00076856" w:rsidRPr="006D15B2" w:rsidRDefault="00DE4299" w:rsidP="00756C58">
            <w:pPr>
              <w:spacing w:line="360" w:lineRule="auto"/>
              <w:jc w:val="right"/>
              <w:rPr>
                <w:rFonts w:ascii="Arial" w:eastAsia="Arial" w:hAnsi="Arial" w:cs="Arial"/>
                <w:color w:val="010205"/>
                <w:sz w:val="20"/>
                <w:szCs w:val="20"/>
              </w:rPr>
            </w:pPr>
            <w:r w:rsidRPr="006D15B2">
              <w:rPr>
                <w:rFonts w:ascii="Arial" w:eastAsia="Arial" w:hAnsi="Arial" w:cs="Arial"/>
                <w:color w:val="010205"/>
                <w:sz w:val="20"/>
                <w:szCs w:val="20"/>
              </w:rPr>
              <w:t>99,4</w:t>
            </w:r>
          </w:p>
        </w:tc>
      </w:tr>
      <w:tr w:rsidR="00076856" w:rsidRPr="006D15B2" w14:paraId="7EC1E9CF" w14:textId="77777777" w:rsidTr="006D15B2">
        <w:trPr>
          <w:trHeight w:val="139"/>
        </w:trPr>
        <w:tc>
          <w:tcPr>
            <w:tcW w:w="2495" w:type="dxa"/>
            <w:tcBorders>
              <w:left w:val="single" w:sz="12" w:space="0" w:color="000000"/>
            </w:tcBorders>
          </w:tcPr>
          <w:p w14:paraId="2D947624" w14:textId="77777777" w:rsidR="00076856" w:rsidRPr="006D15B2" w:rsidRDefault="00DE4299" w:rsidP="00756C58">
            <w:pPr>
              <w:spacing w:line="360" w:lineRule="auto"/>
              <w:rPr>
                <w:rFonts w:ascii="Arial" w:eastAsia="Arial" w:hAnsi="Arial" w:cs="Arial"/>
                <w:sz w:val="20"/>
                <w:szCs w:val="20"/>
              </w:rPr>
            </w:pPr>
            <w:r w:rsidRPr="006D15B2">
              <w:rPr>
                <w:rFonts w:ascii="Arial" w:eastAsia="Arial" w:hAnsi="Arial" w:cs="Arial"/>
                <w:color w:val="264A60"/>
                <w:sz w:val="20"/>
                <w:szCs w:val="20"/>
              </w:rPr>
              <w:t>31 i više</w:t>
            </w:r>
          </w:p>
        </w:tc>
        <w:tc>
          <w:tcPr>
            <w:tcW w:w="1100" w:type="dxa"/>
          </w:tcPr>
          <w:p w14:paraId="33850D42" w14:textId="77777777" w:rsidR="00076856" w:rsidRPr="006D15B2" w:rsidRDefault="00DE4299" w:rsidP="00756C58">
            <w:pPr>
              <w:spacing w:line="360" w:lineRule="auto"/>
              <w:jc w:val="right"/>
              <w:rPr>
                <w:rFonts w:ascii="Arial" w:eastAsia="Arial" w:hAnsi="Arial" w:cs="Arial"/>
                <w:sz w:val="20"/>
                <w:szCs w:val="20"/>
              </w:rPr>
            </w:pPr>
            <w:r w:rsidRPr="006D15B2">
              <w:rPr>
                <w:rFonts w:ascii="Arial" w:eastAsia="Arial" w:hAnsi="Arial" w:cs="Arial"/>
                <w:color w:val="010205"/>
                <w:sz w:val="20"/>
                <w:szCs w:val="20"/>
              </w:rPr>
              <w:t>8</w:t>
            </w:r>
          </w:p>
        </w:tc>
        <w:tc>
          <w:tcPr>
            <w:tcW w:w="1655" w:type="dxa"/>
            <w:tcBorders>
              <w:right w:val="single" w:sz="12" w:space="0" w:color="000000"/>
            </w:tcBorders>
          </w:tcPr>
          <w:p w14:paraId="125A7013" w14:textId="77777777" w:rsidR="00076856" w:rsidRPr="006D15B2" w:rsidRDefault="00DE4299" w:rsidP="00756C58">
            <w:pPr>
              <w:spacing w:line="360" w:lineRule="auto"/>
              <w:jc w:val="right"/>
              <w:rPr>
                <w:rFonts w:ascii="Arial" w:eastAsia="Arial" w:hAnsi="Arial" w:cs="Arial"/>
                <w:sz w:val="20"/>
                <w:szCs w:val="20"/>
              </w:rPr>
            </w:pPr>
            <w:r w:rsidRPr="006D15B2">
              <w:rPr>
                <w:rFonts w:ascii="Arial" w:eastAsia="Arial" w:hAnsi="Arial" w:cs="Arial"/>
                <w:color w:val="010205"/>
                <w:sz w:val="20"/>
                <w:szCs w:val="20"/>
              </w:rPr>
              <w:t>0,6</w:t>
            </w:r>
          </w:p>
        </w:tc>
        <w:tc>
          <w:tcPr>
            <w:tcW w:w="2955" w:type="dxa"/>
            <w:tcBorders>
              <w:right w:val="single" w:sz="12" w:space="0" w:color="000000"/>
            </w:tcBorders>
          </w:tcPr>
          <w:p w14:paraId="328A4D3D" w14:textId="77777777" w:rsidR="00076856" w:rsidRPr="006D15B2" w:rsidRDefault="00DE4299" w:rsidP="00756C58">
            <w:pPr>
              <w:spacing w:line="360" w:lineRule="auto"/>
              <w:jc w:val="right"/>
              <w:rPr>
                <w:rFonts w:ascii="Arial" w:eastAsia="Arial" w:hAnsi="Arial" w:cs="Arial"/>
                <w:color w:val="010205"/>
                <w:sz w:val="20"/>
                <w:szCs w:val="20"/>
              </w:rPr>
            </w:pPr>
            <w:r w:rsidRPr="006D15B2">
              <w:rPr>
                <w:rFonts w:ascii="Arial" w:eastAsia="Arial" w:hAnsi="Arial" w:cs="Arial"/>
                <w:color w:val="010205"/>
                <w:sz w:val="20"/>
                <w:szCs w:val="20"/>
              </w:rPr>
              <w:t>100,0</w:t>
            </w:r>
          </w:p>
        </w:tc>
      </w:tr>
      <w:tr w:rsidR="00076856" w:rsidRPr="006D15B2" w14:paraId="38E2AAC5" w14:textId="77777777" w:rsidTr="006D15B2">
        <w:trPr>
          <w:trHeight w:val="139"/>
        </w:trPr>
        <w:tc>
          <w:tcPr>
            <w:tcW w:w="2495" w:type="dxa"/>
            <w:tcBorders>
              <w:top w:val="single" w:sz="12" w:space="0" w:color="000000"/>
              <w:left w:val="single" w:sz="12" w:space="0" w:color="000000"/>
              <w:bottom w:val="single" w:sz="12" w:space="0" w:color="000000"/>
            </w:tcBorders>
            <w:shd w:val="clear" w:color="auto" w:fill="D9D9D9"/>
            <w:vAlign w:val="center"/>
          </w:tcPr>
          <w:p w14:paraId="7033A36E" w14:textId="77777777" w:rsidR="00076856" w:rsidRPr="006D15B2" w:rsidRDefault="00DE4299" w:rsidP="00756C58">
            <w:pPr>
              <w:spacing w:line="360" w:lineRule="auto"/>
              <w:rPr>
                <w:rFonts w:ascii="Arial" w:eastAsia="Arial" w:hAnsi="Arial" w:cs="Arial"/>
                <w:sz w:val="20"/>
                <w:szCs w:val="20"/>
              </w:rPr>
            </w:pPr>
            <w:r w:rsidRPr="006D15B2">
              <w:rPr>
                <w:rFonts w:ascii="Arial" w:eastAsia="Arial" w:hAnsi="Arial" w:cs="Arial"/>
                <w:sz w:val="20"/>
                <w:szCs w:val="20"/>
              </w:rPr>
              <w:t>Ukupno</w:t>
            </w:r>
          </w:p>
        </w:tc>
        <w:tc>
          <w:tcPr>
            <w:tcW w:w="1100" w:type="dxa"/>
            <w:tcBorders>
              <w:top w:val="single" w:sz="12" w:space="0" w:color="000000"/>
              <w:bottom w:val="single" w:sz="12" w:space="0" w:color="000000"/>
            </w:tcBorders>
            <w:shd w:val="clear" w:color="auto" w:fill="D9D9D9"/>
            <w:vAlign w:val="center"/>
          </w:tcPr>
          <w:p w14:paraId="0811AF45" w14:textId="77777777" w:rsidR="00076856" w:rsidRPr="006D15B2" w:rsidRDefault="00DE4299" w:rsidP="00756C58">
            <w:pPr>
              <w:spacing w:line="360" w:lineRule="auto"/>
              <w:jc w:val="right"/>
              <w:rPr>
                <w:rFonts w:ascii="Arial" w:eastAsia="Arial" w:hAnsi="Arial" w:cs="Arial"/>
                <w:sz w:val="20"/>
                <w:szCs w:val="20"/>
              </w:rPr>
            </w:pPr>
            <w:r w:rsidRPr="006D15B2">
              <w:rPr>
                <w:rFonts w:ascii="Arial" w:eastAsia="Arial" w:hAnsi="Arial" w:cs="Arial"/>
                <w:sz w:val="20"/>
                <w:szCs w:val="20"/>
              </w:rPr>
              <w:t>1423</w:t>
            </w:r>
          </w:p>
        </w:tc>
        <w:tc>
          <w:tcPr>
            <w:tcW w:w="1655" w:type="dxa"/>
            <w:tcBorders>
              <w:top w:val="single" w:sz="12" w:space="0" w:color="000000"/>
              <w:bottom w:val="single" w:sz="12" w:space="0" w:color="000000"/>
              <w:right w:val="single" w:sz="12" w:space="0" w:color="000000"/>
            </w:tcBorders>
            <w:shd w:val="clear" w:color="auto" w:fill="D9D9D9"/>
            <w:vAlign w:val="center"/>
          </w:tcPr>
          <w:p w14:paraId="297DAABB" w14:textId="77777777" w:rsidR="00076856" w:rsidRPr="006D15B2" w:rsidRDefault="00DE4299" w:rsidP="00756C58">
            <w:pPr>
              <w:spacing w:line="360" w:lineRule="auto"/>
              <w:jc w:val="right"/>
              <w:rPr>
                <w:rFonts w:ascii="Arial" w:eastAsia="Arial" w:hAnsi="Arial" w:cs="Arial"/>
                <w:sz w:val="20"/>
                <w:szCs w:val="20"/>
              </w:rPr>
            </w:pPr>
            <w:r w:rsidRPr="006D15B2">
              <w:rPr>
                <w:rFonts w:ascii="Arial" w:eastAsia="Arial" w:hAnsi="Arial" w:cs="Arial"/>
                <w:sz w:val="20"/>
                <w:szCs w:val="20"/>
              </w:rPr>
              <w:t>100,0</w:t>
            </w:r>
          </w:p>
        </w:tc>
        <w:tc>
          <w:tcPr>
            <w:tcW w:w="2955" w:type="dxa"/>
            <w:tcBorders>
              <w:top w:val="single" w:sz="12" w:space="0" w:color="000000"/>
              <w:bottom w:val="single" w:sz="12" w:space="0" w:color="000000"/>
              <w:right w:val="single" w:sz="12" w:space="0" w:color="000000"/>
            </w:tcBorders>
            <w:shd w:val="clear" w:color="auto" w:fill="D9D9D9"/>
          </w:tcPr>
          <w:p w14:paraId="550B9868" w14:textId="77777777" w:rsidR="00076856" w:rsidRPr="006D15B2" w:rsidRDefault="00076856" w:rsidP="00756C58">
            <w:pPr>
              <w:spacing w:line="360" w:lineRule="auto"/>
              <w:jc w:val="right"/>
              <w:rPr>
                <w:rFonts w:ascii="Arial" w:eastAsia="Arial" w:hAnsi="Arial" w:cs="Arial"/>
                <w:sz w:val="20"/>
                <w:szCs w:val="20"/>
              </w:rPr>
            </w:pPr>
          </w:p>
        </w:tc>
      </w:tr>
    </w:tbl>
    <w:p w14:paraId="17B8EB20" w14:textId="77777777" w:rsidR="00076856" w:rsidRPr="006D15B2" w:rsidRDefault="00DE4299" w:rsidP="00756C58">
      <w:pPr>
        <w:spacing w:before="240" w:after="240" w:line="360" w:lineRule="auto"/>
        <w:jc w:val="both"/>
        <w:rPr>
          <w:rFonts w:ascii="Arial" w:eastAsia="Arial" w:hAnsi="Arial" w:cs="Arial"/>
          <w:sz w:val="20"/>
        </w:rPr>
      </w:pPr>
      <w:r w:rsidRPr="006D15B2">
        <w:rPr>
          <w:rFonts w:ascii="Arial" w:eastAsia="Arial" w:hAnsi="Arial" w:cs="Arial"/>
          <w:sz w:val="20"/>
        </w:rPr>
        <w:t>Prilikom testiranja statističke značajnosti razlika, razlike u odgovoru na četvrto pitanje na temelju spola nisu bile statistički značajne (ꭓ</w:t>
      </w:r>
      <w:r w:rsidRPr="006D15B2">
        <w:rPr>
          <w:rFonts w:ascii="Arial" w:eastAsia="Arial" w:hAnsi="Arial" w:cs="Arial"/>
          <w:sz w:val="20"/>
          <w:vertAlign w:val="superscript"/>
        </w:rPr>
        <w:t>2</w:t>
      </w:r>
      <w:r w:rsidRPr="006D15B2">
        <w:rPr>
          <w:rFonts w:ascii="Arial" w:eastAsia="Arial" w:hAnsi="Arial" w:cs="Arial"/>
          <w:sz w:val="20"/>
        </w:rPr>
        <w:t>= 6,151; df = 3; P = 0,104).  Razlike frekvencija odgovora na temelju grada također nisu bile statistički značajne (ꭓ</w:t>
      </w:r>
      <w:r w:rsidRPr="006D15B2">
        <w:rPr>
          <w:rFonts w:ascii="Arial" w:eastAsia="Arial" w:hAnsi="Arial" w:cs="Arial"/>
          <w:sz w:val="20"/>
          <w:vertAlign w:val="superscript"/>
        </w:rPr>
        <w:t>2</w:t>
      </w:r>
      <w:r w:rsidRPr="006D15B2">
        <w:rPr>
          <w:rFonts w:ascii="Arial" w:eastAsia="Arial" w:hAnsi="Arial" w:cs="Arial"/>
          <w:sz w:val="20"/>
        </w:rPr>
        <w:t>= 5,390; df = 6; P = 0,495). Razlika između studenata medicine i ostalih studenata isto nije bila statistički značajna (ꭓ</w:t>
      </w:r>
      <w:r w:rsidRPr="006D15B2">
        <w:rPr>
          <w:rFonts w:ascii="Arial" w:eastAsia="Arial" w:hAnsi="Arial" w:cs="Arial"/>
          <w:sz w:val="20"/>
          <w:vertAlign w:val="superscript"/>
        </w:rPr>
        <w:t>2</w:t>
      </w:r>
      <w:r w:rsidRPr="006D15B2">
        <w:rPr>
          <w:rFonts w:ascii="Arial" w:eastAsia="Arial" w:hAnsi="Arial" w:cs="Arial"/>
          <w:sz w:val="20"/>
        </w:rPr>
        <w:t>= 7,114 ; df = 3; P = 0,068), kao ni prema području studija (ꭓ</w:t>
      </w:r>
      <w:r w:rsidRPr="006D15B2">
        <w:rPr>
          <w:rFonts w:ascii="Arial" w:eastAsia="Arial" w:hAnsi="Arial" w:cs="Arial"/>
          <w:sz w:val="20"/>
          <w:vertAlign w:val="superscript"/>
        </w:rPr>
        <w:t xml:space="preserve">2 </w:t>
      </w:r>
      <w:r w:rsidRPr="006D15B2">
        <w:rPr>
          <w:rFonts w:ascii="Arial" w:eastAsia="Arial" w:hAnsi="Arial" w:cs="Arial"/>
          <w:sz w:val="20"/>
        </w:rPr>
        <w:t>= 4,140; df = 2; P = 0,126).</w:t>
      </w:r>
    </w:p>
    <w:p w14:paraId="04937602" w14:textId="77777777" w:rsidR="00076856" w:rsidRPr="00DE4299" w:rsidRDefault="00DE4299" w:rsidP="00756C58">
      <w:pPr>
        <w:pStyle w:val="Heading2"/>
        <w:numPr>
          <w:ilvl w:val="1"/>
          <w:numId w:val="1"/>
        </w:numPr>
        <w:spacing w:before="240" w:after="240" w:line="360" w:lineRule="auto"/>
        <w:ind w:firstLine="0"/>
        <w:rPr>
          <w:rFonts w:ascii="Arial" w:eastAsia="Arial" w:hAnsi="Arial" w:cs="Arial"/>
          <w:sz w:val="24"/>
          <w:szCs w:val="22"/>
        </w:rPr>
      </w:pPr>
      <w:bookmarkStart w:id="28" w:name="_heading=h.ddq3ua3b3co4" w:colFirst="0" w:colLast="0"/>
      <w:bookmarkStart w:id="29" w:name="_Toc75635806"/>
      <w:bookmarkEnd w:id="28"/>
      <w:r w:rsidRPr="00DE4299">
        <w:rPr>
          <w:rFonts w:ascii="Arial" w:eastAsia="Arial" w:hAnsi="Arial" w:cs="Arial"/>
          <w:sz w:val="24"/>
          <w:szCs w:val="22"/>
        </w:rPr>
        <w:lastRenderedPageBreak/>
        <w:t>Peto pitanje: Pušite li češće u jutarnjim satima?</w:t>
      </w:r>
      <w:bookmarkEnd w:id="29"/>
    </w:p>
    <w:p w14:paraId="2822E147" w14:textId="77777777" w:rsidR="00076856" w:rsidRPr="006D15B2" w:rsidRDefault="00DE4299" w:rsidP="00756C58">
      <w:pPr>
        <w:spacing w:before="240" w:after="240" w:line="360" w:lineRule="auto"/>
        <w:jc w:val="both"/>
        <w:rPr>
          <w:rFonts w:ascii="Arial" w:eastAsia="Arial" w:hAnsi="Arial" w:cs="Arial"/>
          <w:sz w:val="20"/>
        </w:rPr>
      </w:pPr>
      <w:r w:rsidRPr="006D15B2">
        <w:rPr>
          <w:rFonts w:ascii="Arial" w:eastAsia="Arial" w:hAnsi="Arial" w:cs="Arial"/>
          <w:sz w:val="20"/>
        </w:rPr>
        <w:t>Pokazalo se kako većina ispitanika ne puši češće u jutarnjim satima (79,5% od ukupnog broja). Statistički značajne razlike pronađene su kada su se studenti uspoređivali prema području studija (ꭓ</w:t>
      </w:r>
      <w:r w:rsidRPr="006D15B2">
        <w:rPr>
          <w:rFonts w:ascii="Arial" w:eastAsia="Arial" w:hAnsi="Arial" w:cs="Arial"/>
          <w:sz w:val="20"/>
          <w:vertAlign w:val="superscript"/>
        </w:rPr>
        <w:t xml:space="preserve">2 </w:t>
      </w:r>
      <w:r w:rsidRPr="006D15B2">
        <w:rPr>
          <w:rFonts w:ascii="Arial" w:eastAsia="Arial" w:hAnsi="Arial" w:cs="Arial"/>
          <w:sz w:val="20"/>
        </w:rPr>
        <w:t>= 8,841; df = 2; P = 0,012; V = 0,079) i prema tipu studija (ꭓ</w:t>
      </w:r>
      <w:r w:rsidRPr="006D15B2">
        <w:rPr>
          <w:rFonts w:ascii="Arial" w:eastAsia="Arial" w:hAnsi="Arial" w:cs="Arial"/>
          <w:sz w:val="20"/>
          <w:vertAlign w:val="superscript"/>
        </w:rPr>
        <w:t>2</w:t>
      </w:r>
      <w:r w:rsidRPr="006D15B2">
        <w:rPr>
          <w:rFonts w:ascii="Arial" w:eastAsia="Arial" w:hAnsi="Arial" w:cs="Arial"/>
          <w:sz w:val="20"/>
        </w:rPr>
        <w:t xml:space="preserve">= 5,952; df = 1; P = 0,015 uz Yatesovu korekciju; V = 0,067).  Studenti ne-medicinskih područja češće puše u jutarnjim satima (22,3%) u usporedbi sa studentima medicine (16,5%). Pri daljnjoj analizi utvrđeno je kako studenti medicine i umjetničkog područja podjednako često puše u jutarnjim satima (za obje kategorije 16,5%) naspram društveno humanističkog područja čiji studenti češće puše u jutarnjim satima od ostalih (23,1%). </w:t>
      </w:r>
    </w:p>
    <w:p w14:paraId="5D291D42" w14:textId="2260E771" w:rsidR="00076856" w:rsidRPr="006D15B2" w:rsidRDefault="00DE4299" w:rsidP="006D15B2">
      <w:pPr>
        <w:spacing w:before="240" w:after="240" w:line="360" w:lineRule="auto"/>
        <w:rPr>
          <w:rFonts w:ascii="Arial" w:eastAsia="Arial" w:hAnsi="Arial" w:cs="Arial"/>
          <w:b/>
          <w:sz w:val="20"/>
        </w:rPr>
      </w:pPr>
      <w:r w:rsidRPr="006D15B2">
        <w:rPr>
          <w:rFonts w:ascii="Arial" w:eastAsia="Arial" w:hAnsi="Arial" w:cs="Arial"/>
          <w:b/>
          <w:sz w:val="20"/>
        </w:rPr>
        <w:t xml:space="preserve">Tablica 8. </w:t>
      </w:r>
      <w:r w:rsidRPr="006D15B2">
        <w:rPr>
          <w:rFonts w:ascii="Arial" w:eastAsia="Arial" w:hAnsi="Arial" w:cs="Arial"/>
          <w:b/>
          <w:sz w:val="20"/>
        </w:rPr>
        <w:tab/>
      </w:r>
      <w:r w:rsidRPr="006D15B2">
        <w:rPr>
          <w:rFonts w:ascii="Arial" w:eastAsia="Arial" w:hAnsi="Arial" w:cs="Arial"/>
          <w:sz w:val="20"/>
        </w:rPr>
        <w:t>Usporedba odgovora na pitanje „Pušite li češće u jutarnjim satima“ s obzirom na područje studija</w:t>
      </w:r>
    </w:p>
    <w:tbl>
      <w:tblPr>
        <w:tblStyle w:val="afa"/>
        <w:tblW w:w="9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2"/>
        <w:gridCol w:w="1929"/>
        <w:gridCol w:w="1890"/>
        <w:gridCol w:w="1811"/>
        <w:gridCol w:w="1022"/>
      </w:tblGrid>
      <w:tr w:rsidR="00076856" w:rsidRPr="00A701FA" w14:paraId="748A924E" w14:textId="77777777" w:rsidTr="006D15B2">
        <w:trPr>
          <w:trHeight w:val="441"/>
        </w:trPr>
        <w:tc>
          <w:tcPr>
            <w:tcW w:w="4631" w:type="dxa"/>
            <w:gridSpan w:val="2"/>
            <w:vMerge w:val="restart"/>
            <w:tcBorders>
              <w:top w:val="single" w:sz="12" w:space="0" w:color="000000"/>
              <w:left w:val="single" w:sz="12" w:space="0" w:color="000000"/>
              <w:right w:val="single" w:sz="4" w:space="0" w:color="000000"/>
            </w:tcBorders>
            <w:shd w:val="clear" w:color="auto" w:fill="D9D9D9"/>
            <w:vAlign w:val="center"/>
          </w:tcPr>
          <w:p w14:paraId="0D545D39" w14:textId="77777777" w:rsidR="00076856" w:rsidRPr="00A701FA" w:rsidRDefault="00DE4299" w:rsidP="00756C58">
            <w:pPr>
              <w:spacing w:line="360" w:lineRule="auto"/>
              <w:rPr>
                <w:rFonts w:ascii="Arial" w:eastAsia="Arial" w:hAnsi="Arial" w:cs="Arial"/>
                <w:sz w:val="20"/>
                <w:szCs w:val="20"/>
              </w:rPr>
            </w:pPr>
            <w:r w:rsidRPr="00A701FA">
              <w:rPr>
                <w:rFonts w:ascii="Arial" w:eastAsia="Arial" w:hAnsi="Arial" w:cs="Arial"/>
                <w:sz w:val="20"/>
                <w:szCs w:val="20"/>
              </w:rPr>
              <w:t>Područje</w:t>
            </w:r>
          </w:p>
        </w:tc>
        <w:tc>
          <w:tcPr>
            <w:tcW w:w="3701" w:type="dxa"/>
            <w:gridSpan w:val="2"/>
            <w:tcBorders>
              <w:top w:val="single" w:sz="12" w:space="0" w:color="000000"/>
              <w:left w:val="single" w:sz="4" w:space="0" w:color="000000"/>
              <w:bottom w:val="single" w:sz="4" w:space="0" w:color="000000"/>
              <w:right w:val="single" w:sz="12" w:space="0" w:color="000000"/>
            </w:tcBorders>
            <w:shd w:val="clear" w:color="auto" w:fill="D9D9D9"/>
            <w:vAlign w:val="center"/>
          </w:tcPr>
          <w:p w14:paraId="78890AED" w14:textId="77777777" w:rsidR="00076856" w:rsidRPr="00A701FA" w:rsidRDefault="00DE4299" w:rsidP="00756C58">
            <w:pPr>
              <w:spacing w:line="360" w:lineRule="auto"/>
              <w:rPr>
                <w:rFonts w:ascii="Arial" w:eastAsia="Arial" w:hAnsi="Arial" w:cs="Arial"/>
                <w:sz w:val="20"/>
                <w:szCs w:val="20"/>
              </w:rPr>
            </w:pPr>
            <w:r w:rsidRPr="00A701FA">
              <w:rPr>
                <w:rFonts w:ascii="Arial" w:eastAsia="Arial" w:hAnsi="Arial" w:cs="Arial"/>
                <w:sz w:val="20"/>
                <w:szCs w:val="20"/>
              </w:rPr>
              <w:t>Pušite li češće u jutarnjim satima?</w:t>
            </w:r>
          </w:p>
        </w:tc>
        <w:tc>
          <w:tcPr>
            <w:tcW w:w="1022" w:type="dxa"/>
            <w:vMerge w:val="restart"/>
            <w:tcBorders>
              <w:top w:val="single" w:sz="12" w:space="0" w:color="000000"/>
              <w:right w:val="single" w:sz="12" w:space="0" w:color="000000"/>
            </w:tcBorders>
            <w:shd w:val="clear" w:color="auto" w:fill="D9D9D9"/>
            <w:vAlign w:val="center"/>
          </w:tcPr>
          <w:p w14:paraId="3C752148" w14:textId="77777777" w:rsidR="00076856" w:rsidRPr="00A701FA" w:rsidRDefault="00DE4299" w:rsidP="00756C58">
            <w:pPr>
              <w:spacing w:line="360" w:lineRule="auto"/>
              <w:rPr>
                <w:rFonts w:ascii="Arial" w:eastAsia="Arial" w:hAnsi="Arial" w:cs="Arial"/>
                <w:sz w:val="20"/>
                <w:szCs w:val="20"/>
              </w:rPr>
            </w:pPr>
            <w:r w:rsidRPr="00A701FA">
              <w:rPr>
                <w:rFonts w:ascii="Arial" w:eastAsia="Arial" w:hAnsi="Arial" w:cs="Arial"/>
                <w:sz w:val="20"/>
                <w:szCs w:val="20"/>
              </w:rPr>
              <w:t>Ukupno</w:t>
            </w:r>
          </w:p>
        </w:tc>
      </w:tr>
      <w:tr w:rsidR="00076856" w:rsidRPr="00A701FA" w14:paraId="5800241E" w14:textId="77777777" w:rsidTr="006D15B2">
        <w:trPr>
          <w:trHeight w:val="441"/>
        </w:trPr>
        <w:tc>
          <w:tcPr>
            <w:tcW w:w="4631" w:type="dxa"/>
            <w:gridSpan w:val="2"/>
            <w:vMerge/>
            <w:tcBorders>
              <w:top w:val="single" w:sz="12" w:space="0" w:color="000000"/>
              <w:left w:val="single" w:sz="12" w:space="0" w:color="000000"/>
              <w:right w:val="single" w:sz="4" w:space="0" w:color="000000"/>
            </w:tcBorders>
            <w:shd w:val="clear" w:color="auto" w:fill="D9D9D9"/>
            <w:vAlign w:val="center"/>
          </w:tcPr>
          <w:p w14:paraId="031BC1A9" w14:textId="77777777" w:rsidR="00076856" w:rsidRPr="00A701FA" w:rsidRDefault="00076856" w:rsidP="00756C58">
            <w:pPr>
              <w:widowControl w:val="0"/>
              <w:pBdr>
                <w:top w:val="nil"/>
                <w:left w:val="nil"/>
                <w:bottom w:val="nil"/>
                <w:right w:val="nil"/>
                <w:between w:val="nil"/>
              </w:pBdr>
              <w:spacing w:line="360" w:lineRule="auto"/>
              <w:rPr>
                <w:rFonts w:ascii="Arial" w:eastAsia="Arial" w:hAnsi="Arial" w:cs="Arial"/>
                <w:sz w:val="20"/>
                <w:szCs w:val="20"/>
              </w:rPr>
            </w:pPr>
          </w:p>
        </w:tc>
        <w:tc>
          <w:tcPr>
            <w:tcW w:w="1890" w:type="dxa"/>
            <w:tcBorders>
              <w:top w:val="single" w:sz="4" w:space="0" w:color="000000"/>
              <w:left w:val="single" w:sz="4" w:space="0" w:color="000000"/>
              <w:bottom w:val="single" w:sz="12" w:space="0" w:color="000000"/>
            </w:tcBorders>
            <w:shd w:val="clear" w:color="auto" w:fill="D9D9D9"/>
            <w:vAlign w:val="center"/>
          </w:tcPr>
          <w:p w14:paraId="5AE125AB" w14:textId="77777777" w:rsidR="00076856" w:rsidRPr="00A701FA" w:rsidRDefault="00DE4299" w:rsidP="00756C58">
            <w:pPr>
              <w:spacing w:line="360" w:lineRule="auto"/>
              <w:rPr>
                <w:rFonts w:ascii="Arial" w:eastAsia="Arial" w:hAnsi="Arial" w:cs="Arial"/>
                <w:sz w:val="20"/>
                <w:szCs w:val="20"/>
              </w:rPr>
            </w:pPr>
            <w:r w:rsidRPr="00A701FA">
              <w:rPr>
                <w:rFonts w:ascii="Arial" w:eastAsia="Arial" w:hAnsi="Arial" w:cs="Arial"/>
                <w:sz w:val="20"/>
                <w:szCs w:val="20"/>
              </w:rPr>
              <w:t>unutar 5 minuta</w:t>
            </w:r>
          </w:p>
        </w:tc>
        <w:tc>
          <w:tcPr>
            <w:tcW w:w="1811" w:type="dxa"/>
            <w:tcBorders>
              <w:top w:val="single" w:sz="4" w:space="0" w:color="000000"/>
              <w:bottom w:val="single" w:sz="12" w:space="0" w:color="000000"/>
              <w:right w:val="single" w:sz="12" w:space="0" w:color="000000"/>
            </w:tcBorders>
            <w:shd w:val="clear" w:color="auto" w:fill="D9D9D9"/>
            <w:vAlign w:val="center"/>
          </w:tcPr>
          <w:p w14:paraId="0A6EF096" w14:textId="77777777" w:rsidR="00076856" w:rsidRPr="00A701FA" w:rsidRDefault="00DE4299" w:rsidP="00756C58">
            <w:pPr>
              <w:spacing w:line="360" w:lineRule="auto"/>
              <w:rPr>
                <w:rFonts w:ascii="Arial" w:eastAsia="Arial" w:hAnsi="Arial" w:cs="Arial"/>
                <w:sz w:val="20"/>
                <w:szCs w:val="20"/>
              </w:rPr>
            </w:pPr>
            <w:r w:rsidRPr="00A701FA">
              <w:rPr>
                <w:rFonts w:ascii="Arial" w:eastAsia="Arial" w:hAnsi="Arial" w:cs="Arial"/>
                <w:sz w:val="20"/>
                <w:szCs w:val="20"/>
              </w:rPr>
              <w:t>5 do 30 minuta</w:t>
            </w:r>
          </w:p>
        </w:tc>
        <w:tc>
          <w:tcPr>
            <w:tcW w:w="1022" w:type="dxa"/>
            <w:vMerge/>
            <w:tcBorders>
              <w:top w:val="single" w:sz="12" w:space="0" w:color="000000"/>
              <w:right w:val="single" w:sz="12" w:space="0" w:color="000000"/>
            </w:tcBorders>
            <w:shd w:val="clear" w:color="auto" w:fill="D9D9D9"/>
            <w:vAlign w:val="center"/>
          </w:tcPr>
          <w:p w14:paraId="5D105E57" w14:textId="77777777" w:rsidR="00076856" w:rsidRPr="00A701FA" w:rsidRDefault="00076856" w:rsidP="00756C58">
            <w:pPr>
              <w:widowControl w:val="0"/>
              <w:pBdr>
                <w:top w:val="nil"/>
                <w:left w:val="nil"/>
                <w:bottom w:val="nil"/>
                <w:right w:val="nil"/>
                <w:between w:val="nil"/>
              </w:pBdr>
              <w:spacing w:line="360" w:lineRule="auto"/>
              <w:rPr>
                <w:rFonts w:ascii="Arial" w:eastAsia="Arial" w:hAnsi="Arial" w:cs="Arial"/>
                <w:sz w:val="20"/>
                <w:szCs w:val="20"/>
              </w:rPr>
            </w:pPr>
          </w:p>
        </w:tc>
      </w:tr>
      <w:tr w:rsidR="00076856" w:rsidRPr="00A701FA" w14:paraId="71A79A61" w14:textId="77777777" w:rsidTr="006D15B2">
        <w:trPr>
          <w:trHeight w:val="252"/>
        </w:trPr>
        <w:tc>
          <w:tcPr>
            <w:tcW w:w="2702" w:type="dxa"/>
            <w:vMerge w:val="restart"/>
            <w:tcBorders>
              <w:top w:val="single" w:sz="12" w:space="0" w:color="000000"/>
              <w:left w:val="single" w:sz="12" w:space="0" w:color="000000"/>
              <w:right w:val="single" w:sz="4" w:space="0" w:color="000000"/>
            </w:tcBorders>
            <w:vAlign w:val="center"/>
          </w:tcPr>
          <w:p w14:paraId="18767E0C" w14:textId="77777777" w:rsidR="00076856" w:rsidRPr="00A701FA" w:rsidRDefault="00DE4299" w:rsidP="00756C58">
            <w:pPr>
              <w:spacing w:line="360" w:lineRule="auto"/>
              <w:rPr>
                <w:rFonts w:ascii="Arial" w:eastAsia="Arial" w:hAnsi="Arial" w:cs="Arial"/>
                <w:sz w:val="20"/>
                <w:szCs w:val="20"/>
              </w:rPr>
            </w:pPr>
            <w:r w:rsidRPr="00A701FA">
              <w:rPr>
                <w:rFonts w:ascii="Arial" w:eastAsia="Arial" w:hAnsi="Arial" w:cs="Arial"/>
                <w:sz w:val="20"/>
                <w:szCs w:val="20"/>
              </w:rPr>
              <w:t>Biomedicinsko</w:t>
            </w:r>
          </w:p>
          <w:p w14:paraId="14CE6276" w14:textId="77777777" w:rsidR="00076856" w:rsidRPr="00A701FA" w:rsidRDefault="00DE4299" w:rsidP="00756C58">
            <w:pPr>
              <w:spacing w:line="360" w:lineRule="auto"/>
              <w:rPr>
                <w:rFonts w:ascii="Arial" w:eastAsia="Arial" w:hAnsi="Arial" w:cs="Arial"/>
                <w:sz w:val="20"/>
                <w:szCs w:val="20"/>
              </w:rPr>
            </w:pPr>
            <w:r w:rsidRPr="00A701FA">
              <w:rPr>
                <w:rFonts w:ascii="Arial" w:eastAsia="Arial" w:hAnsi="Arial" w:cs="Arial"/>
                <w:sz w:val="20"/>
                <w:szCs w:val="20"/>
              </w:rPr>
              <w:t>područje (medicina)</w:t>
            </w:r>
          </w:p>
        </w:tc>
        <w:tc>
          <w:tcPr>
            <w:tcW w:w="1929" w:type="dxa"/>
            <w:tcBorders>
              <w:top w:val="single" w:sz="12" w:space="0" w:color="000000"/>
              <w:left w:val="single" w:sz="4" w:space="0" w:color="000000"/>
              <w:right w:val="single" w:sz="4" w:space="0" w:color="000000"/>
            </w:tcBorders>
            <w:vAlign w:val="center"/>
          </w:tcPr>
          <w:p w14:paraId="4CA40303" w14:textId="77777777" w:rsidR="00076856" w:rsidRPr="00A701FA" w:rsidRDefault="00DE4299" w:rsidP="00756C58">
            <w:pPr>
              <w:spacing w:line="360" w:lineRule="auto"/>
              <w:rPr>
                <w:rFonts w:ascii="Arial" w:eastAsia="Arial" w:hAnsi="Arial" w:cs="Arial"/>
                <w:sz w:val="20"/>
                <w:szCs w:val="20"/>
              </w:rPr>
            </w:pPr>
            <w:r w:rsidRPr="00A701FA">
              <w:rPr>
                <w:rFonts w:ascii="Arial" w:eastAsia="Arial" w:hAnsi="Arial" w:cs="Arial"/>
                <w:sz w:val="20"/>
                <w:szCs w:val="20"/>
              </w:rPr>
              <w:t>Broj (N)</w:t>
            </w:r>
          </w:p>
        </w:tc>
        <w:tc>
          <w:tcPr>
            <w:tcW w:w="1890" w:type="dxa"/>
            <w:tcBorders>
              <w:top w:val="single" w:sz="12" w:space="0" w:color="000000"/>
              <w:left w:val="single" w:sz="4" w:space="0" w:color="000000"/>
              <w:right w:val="single" w:sz="4" w:space="0" w:color="000000"/>
            </w:tcBorders>
            <w:vAlign w:val="center"/>
          </w:tcPr>
          <w:p w14:paraId="4B146221"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sz w:val="20"/>
                <w:szCs w:val="20"/>
              </w:rPr>
              <w:t>73</w:t>
            </w:r>
          </w:p>
        </w:tc>
        <w:tc>
          <w:tcPr>
            <w:tcW w:w="1811" w:type="dxa"/>
            <w:tcBorders>
              <w:top w:val="single" w:sz="12" w:space="0" w:color="000000"/>
              <w:left w:val="single" w:sz="4" w:space="0" w:color="000000"/>
              <w:right w:val="single" w:sz="4" w:space="0" w:color="000000"/>
            </w:tcBorders>
            <w:vAlign w:val="center"/>
          </w:tcPr>
          <w:p w14:paraId="6805763C"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sz w:val="20"/>
                <w:szCs w:val="20"/>
              </w:rPr>
              <w:t>369</w:t>
            </w:r>
          </w:p>
        </w:tc>
        <w:tc>
          <w:tcPr>
            <w:tcW w:w="1022" w:type="dxa"/>
            <w:tcBorders>
              <w:top w:val="single" w:sz="12" w:space="0" w:color="000000"/>
              <w:left w:val="single" w:sz="12" w:space="0" w:color="000000"/>
              <w:right w:val="single" w:sz="12" w:space="0" w:color="000000"/>
            </w:tcBorders>
            <w:vAlign w:val="center"/>
          </w:tcPr>
          <w:p w14:paraId="3495CB5E"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sz w:val="20"/>
                <w:szCs w:val="20"/>
              </w:rPr>
              <w:t>442</w:t>
            </w:r>
          </w:p>
        </w:tc>
      </w:tr>
      <w:tr w:rsidR="00076856" w:rsidRPr="00A701FA" w14:paraId="58281BD8" w14:textId="77777777" w:rsidTr="006D15B2">
        <w:trPr>
          <w:trHeight w:val="252"/>
        </w:trPr>
        <w:tc>
          <w:tcPr>
            <w:tcW w:w="2702" w:type="dxa"/>
            <w:vMerge/>
            <w:tcBorders>
              <w:top w:val="single" w:sz="12" w:space="0" w:color="000000"/>
              <w:left w:val="single" w:sz="12" w:space="0" w:color="000000"/>
              <w:right w:val="single" w:sz="4" w:space="0" w:color="000000"/>
            </w:tcBorders>
            <w:vAlign w:val="center"/>
          </w:tcPr>
          <w:p w14:paraId="45DA7526" w14:textId="77777777" w:rsidR="00076856" w:rsidRPr="00A701FA" w:rsidRDefault="00076856" w:rsidP="00756C58">
            <w:pPr>
              <w:widowControl w:val="0"/>
              <w:pBdr>
                <w:top w:val="nil"/>
                <w:left w:val="nil"/>
                <w:bottom w:val="nil"/>
                <w:right w:val="nil"/>
                <w:between w:val="nil"/>
              </w:pBdr>
              <w:spacing w:line="360" w:lineRule="auto"/>
              <w:rPr>
                <w:rFonts w:ascii="Arial" w:eastAsia="Arial" w:hAnsi="Arial" w:cs="Arial"/>
                <w:sz w:val="20"/>
                <w:szCs w:val="20"/>
              </w:rPr>
            </w:pPr>
          </w:p>
        </w:tc>
        <w:tc>
          <w:tcPr>
            <w:tcW w:w="1929" w:type="dxa"/>
            <w:tcBorders>
              <w:top w:val="single" w:sz="4" w:space="0" w:color="000000"/>
              <w:left w:val="single" w:sz="4" w:space="0" w:color="000000"/>
              <w:right w:val="single" w:sz="4" w:space="0" w:color="000000"/>
            </w:tcBorders>
            <w:vAlign w:val="center"/>
          </w:tcPr>
          <w:p w14:paraId="68CCFAA9" w14:textId="77777777" w:rsidR="00076856" w:rsidRPr="00A701FA" w:rsidRDefault="00DE4299" w:rsidP="00756C58">
            <w:pPr>
              <w:spacing w:line="360" w:lineRule="auto"/>
              <w:rPr>
                <w:rFonts w:ascii="Arial" w:eastAsia="Arial" w:hAnsi="Arial" w:cs="Arial"/>
                <w:sz w:val="20"/>
                <w:szCs w:val="20"/>
              </w:rPr>
            </w:pPr>
            <w:r w:rsidRPr="00A701FA">
              <w:rPr>
                <w:rFonts w:ascii="Arial" w:eastAsia="Arial" w:hAnsi="Arial" w:cs="Arial"/>
                <w:sz w:val="20"/>
                <w:szCs w:val="20"/>
              </w:rPr>
              <w:t>% unutar područja</w:t>
            </w:r>
          </w:p>
        </w:tc>
        <w:tc>
          <w:tcPr>
            <w:tcW w:w="1890" w:type="dxa"/>
            <w:tcBorders>
              <w:left w:val="single" w:sz="4" w:space="0" w:color="000000"/>
              <w:right w:val="single" w:sz="4" w:space="0" w:color="000000"/>
            </w:tcBorders>
            <w:vAlign w:val="center"/>
          </w:tcPr>
          <w:p w14:paraId="1AB906A7"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sz w:val="20"/>
                <w:szCs w:val="20"/>
              </w:rPr>
              <w:t>16,5%</w:t>
            </w:r>
          </w:p>
        </w:tc>
        <w:tc>
          <w:tcPr>
            <w:tcW w:w="1811" w:type="dxa"/>
            <w:tcBorders>
              <w:left w:val="single" w:sz="4" w:space="0" w:color="000000"/>
              <w:right w:val="single" w:sz="4" w:space="0" w:color="000000"/>
            </w:tcBorders>
            <w:vAlign w:val="center"/>
          </w:tcPr>
          <w:p w14:paraId="474105AA"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sz w:val="20"/>
                <w:szCs w:val="20"/>
              </w:rPr>
              <w:t>83,5%</w:t>
            </w:r>
          </w:p>
        </w:tc>
        <w:tc>
          <w:tcPr>
            <w:tcW w:w="1022" w:type="dxa"/>
            <w:tcBorders>
              <w:left w:val="single" w:sz="12" w:space="0" w:color="000000"/>
              <w:right w:val="single" w:sz="12" w:space="0" w:color="000000"/>
            </w:tcBorders>
            <w:vAlign w:val="center"/>
          </w:tcPr>
          <w:p w14:paraId="24833229"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sz w:val="20"/>
                <w:szCs w:val="20"/>
              </w:rPr>
              <w:t>100,0%</w:t>
            </w:r>
          </w:p>
        </w:tc>
      </w:tr>
      <w:tr w:rsidR="00076856" w:rsidRPr="00A701FA" w14:paraId="05455A0F" w14:textId="77777777" w:rsidTr="006D15B2">
        <w:trPr>
          <w:trHeight w:val="252"/>
        </w:trPr>
        <w:tc>
          <w:tcPr>
            <w:tcW w:w="2702" w:type="dxa"/>
            <w:vMerge w:val="restart"/>
            <w:tcBorders>
              <w:left w:val="single" w:sz="12" w:space="0" w:color="000000"/>
              <w:right w:val="single" w:sz="4" w:space="0" w:color="000000"/>
            </w:tcBorders>
            <w:vAlign w:val="center"/>
          </w:tcPr>
          <w:p w14:paraId="15C11C37" w14:textId="77777777" w:rsidR="00076856" w:rsidRPr="00A701FA" w:rsidRDefault="00DE4299" w:rsidP="00756C58">
            <w:pPr>
              <w:spacing w:line="360" w:lineRule="auto"/>
              <w:rPr>
                <w:rFonts w:ascii="Arial" w:eastAsia="Arial" w:hAnsi="Arial" w:cs="Arial"/>
                <w:sz w:val="20"/>
                <w:szCs w:val="20"/>
              </w:rPr>
            </w:pPr>
            <w:r w:rsidRPr="00A701FA">
              <w:rPr>
                <w:rFonts w:ascii="Arial" w:eastAsia="Arial" w:hAnsi="Arial" w:cs="Arial"/>
                <w:sz w:val="20"/>
                <w:szCs w:val="20"/>
              </w:rPr>
              <w:t xml:space="preserve">Umjetničko </w:t>
            </w:r>
          </w:p>
          <w:p w14:paraId="2C642F4A" w14:textId="77777777" w:rsidR="00076856" w:rsidRPr="00A701FA" w:rsidRDefault="00DE4299" w:rsidP="00756C58">
            <w:pPr>
              <w:spacing w:line="360" w:lineRule="auto"/>
              <w:rPr>
                <w:rFonts w:ascii="Arial" w:eastAsia="Arial" w:hAnsi="Arial" w:cs="Arial"/>
                <w:sz w:val="20"/>
                <w:szCs w:val="20"/>
              </w:rPr>
            </w:pPr>
            <w:r w:rsidRPr="00A701FA">
              <w:rPr>
                <w:rFonts w:ascii="Arial" w:eastAsia="Arial" w:hAnsi="Arial" w:cs="Arial"/>
                <w:sz w:val="20"/>
                <w:szCs w:val="20"/>
              </w:rPr>
              <w:t>područje</w:t>
            </w:r>
          </w:p>
        </w:tc>
        <w:tc>
          <w:tcPr>
            <w:tcW w:w="1929" w:type="dxa"/>
            <w:tcBorders>
              <w:left w:val="single" w:sz="4" w:space="0" w:color="000000"/>
              <w:right w:val="single" w:sz="4" w:space="0" w:color="000000"/>
            </w:tcBorders>
            <w:vAlign w:val="center"/>
          </w:tcPr>
          <w:p w14:paraId="1A770466" w14:textId="77777777" w:rsidR="00076856" w:rsidRPr="00A701FA" w:rsidRDefault="00DE4299" w:rsidP="00756C58">
            <w:pPr>
              <w:spacing w:line="360" w:lineRule="auto"/>
              <w:rPr>
                <w:rFonts w:ascii="Arial" w:eastAsia="Arial" w:hAnsi="Arial" w:cs="Arial"/>
                <w:sz w:val="20"/>
                <w:szCs w:val="20"/>
              </w:rPr>
            </w:pPr>
            <w:r w:rsidRPr="00A701FA">
              <w:rPr>
                <w:rFonts w:ascii="Arial" w:eastAsia="Arial" w:hAnsi="Arial" w:cs="Arial"/>
                <w:sz w:val="20"/>
                <w:szCs w:val="20"/>
              </w:rPr>
              <w:t>Broj (N)</w:t>
            </w:r>
          </w:p>
        </w:tc>
        <w:tc>
          <w:tcPr>
            <w:tcW w:w="1890" w:type="dxa"/>
            <w:tcBorders>
              <w:left w:val="single" w:sz="4" w:space="0" w:color="000000"/>
              <w:right w:val="single" w:sz="4" w:space="0" w:color="000000"/>
            </w:tcBorders>
            <w:vAlign w:val="center"/>
          </w:tcPr>
          <w:p w14:paraId="62F080B7"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sz w:val="20"/>
                <w:szCs w:val="20"/>
              </w:rPr>
              <w:t>18</w:t>
            </w:r>
          </w:p>
        </w:tc>
        <w:tc>
          <w:tcPr>
            <w:tcW w:w="1811" w:type="dxa"/>
            <w:tcBorders>
              <w:left w:val="single" w:sz="4" w:space="0" w:color="000000"/>
              <w:right w:val="single" w:sz="4" w:space="0" w:color="000000"/>
            </w:tcBorders>
            <w:vAlign w:val="center"/>
          </w:tcPr>
          <w:p w14:paraId="3F86C725"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sz w:val="20"/>
                <w:szCs w:val="20"/>
              </w:rPr>
              <w:t>91</w:t>
            </w:r>
          </w:p>
        </w:tc>
        <w:tc>
          <w:tcPr>
            <w:tcW w:w="1022" w:type="dxa"/>
            <w:tcBorders>
              <w:left w:val="single" w:sz="12" w:space="0" w:color="000000"/>
              <w:right w:val="single" w:sz="12" w:space="0" w:color="000000"/>
            </w:tcBorders>
            <w:vAlign w:val="center"/>
          </w:tcPr>
          <w:p w14:paraId="3092A80A"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sz w:val="20"/>
                <w:szCs w:val="20"/>
              </w:rPr>
              <w:t>109</w:t>
            </w:r>
          </w:p>
        </w:tc>
      </w:tr>
      <w:tr w:rsidR="00076856" w:rsidRPr="00A701FA" w14:paraId="05A28DC6" w14:textId="77777777" w:rsidTr="006D15B2">
        <w:trPr>
          <w:trHeight w:val="252"/>
        </w:trPr>
        <w:tc>
          <w:tcPr>
            <w:tcW w:w="2702" w:type="dxa"/>
            <w:vMerge/>
            <w:tcBorders>
              <w:left w:val="single" w:sz="12" w:space="0" w:color="000000"/>
              <w:right w:val="single" w:sz="4" w:space="0" w:color="000000"/>
            </w:tcBorders>
            <w:vAlign w:val="center"/>
          </w:tcPr>
          <w:p w14:paraId="509C9D6E" w14:textId="77777777" w:rsidR="00076856" w:rsidRPr="00A701FA" w:rsidRDefault="00076856" w:rsidP="00756C58">
            <w:pPr>
              <w:widowControl w:val="0"/>
              <w:pBdr>
                <w:top w:val="nil"/>
                <w:left w:val="nil"/>
                <w:bottom w:val="nil"/>
                <w:right w:val="nil"/>
                <w:between w:val="nil"/>
              </w:pBdr>
              <w:spacing w:line="360" w:lineRule="auto"/>
              <w:rPr>
                <w:rFonts w:ascii="Arial" w:eastAsia="Arial" w:hAnsi="Arial" w:cs="Arial"/>
                <w:sz w:val="20"/>
                <w:szCs w:val="20"/>
              </w:rPr>
            </w:pPr>
          </w:p>
        </w:tc>
        <w:tc>
          <w:tcPr>
            <w:tcW w:w="1929" w:type="dxa"/>
            <w:tcBorders>
              <w:left w:val="single" w:sz="4" w:space="0" w:color="000000"/>
              <w:right w:val="single" w:sz="4" w:space="0" w:color="000000"/>
            </w:tcBorders>
            <w:vAlign w:val="center"/>
          </w:tcPr>
          <w:p w14:paraId="235076B4" w14:textId="77777777" w:rsidR="00076856" w:rsidRPr="00A701FA" w:rsidRDefault="00DE4299" w:rsidP="00756C58">
            <w:pPr>
              <w:spacing w:line="360" w:lineRule="auto"/>
              <w:rPr>
                <w:rFonts w:ascii="Arial" w:eastAsia="Arial" w:hAnsi="Arial" w:cs="Arial"/>
                <w:sz w:val="20"/>
                <w:szCs w:val="20"/>
              </w:rPr>
            </w:pPr>
            <w:r w:rsidRPr="00A701FA">
              <w:rPr>
                <w:rFonts w:ascii="Arial" w:eastAsia="Arial" w:hAnsi="Arial" w:cs="Arial"/>
                <w:sz w:val="20"/>
                <w:szCs w:val="20"/>
              </w:rPr>
              <w:t>% unutar područja</w:t>
            </w:r>
          </w:p>
        </w:tc>
        <w:tc>
          <w:tcPr>
            <w:tcW w:w="1890" w:type="dxa"/>
            <w:tcBorders>
              <w:left w:val="single" w:sz="4" w:space="0" w:color="000000"/>
              <w:right w:val="single" w:sz="4" w:space="0" w:color="000000"/>
            </w:tcBorders>
            <w:vAlign w:val="center"/>
          </w:tcPr>
          <w:p w14:paraId="60E6A6E3"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sz w:val="20"/>
                <w:szCs w:val="20"/>
              </w:rPr>
              <w:t>16,5%</w:t>
            </w:r>
          </w:p>
        </w:tc>
        <w:tc>
          <w:tcPr>
            <w:tcW w:w="1811" w:type="dxa"/>
            <w:tcBorders>
              <w:left w:val="single" w:sz="4" w:space="0" w:color="000000"/>
              <w:right w:val="single" w:sz="4" w:space="0" w:color="000000"/>
            </w:tcBorders>
            <w:vAlign w:val="center"/>
          </w:tcPr>
          <w:p w14:paraId="0B9D47F5"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sz w:val="20"/>
                <w:szCs w:val="20"/>
              </w:rPr>
              <w:t>83,5%</w:t>
            </w:r>
          </w:p>
        </w:tc>
        <w:tc>
          <w:tcPr>
            <w:tcW w:w="1022" w:type="dxa"/>
            <w:tcBorders>
              <w:left w:val="single" w:sz="12" w:space="0" w:color="000000"/>
              <w:right w:val="single" w:sz="12" w:space="0" w:color="000000"/>
            </w:tcBorders>
            <w:vAlign w:val="center"/>
          </w:tcPr>
          <w:p w14:paraId="2BDE2E4A"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sz w:val="20"/>
                <w:szCs w:val="20"/>
              </w:rPr>
              <w:t>100,0%</w:t>
            </w:r>
          </w:p>
        </w:tc>
      </w:tr>
      <w:tr w:rsidR="00076856" w:rsidRPr="00A701FA" w14:paraId="5BD70230" w14:textId="77777777" w:rsidTr="006D15B2">
        <w:trPr>
          <w:trHeight w:val="252"/>
        </w:trPr>
        <w:tc>
          <w:tcPr>
            <w:tcW w:w="2702" w:type="dxa"/>
            <w:vMerge w:val="restart"/>
            <w:tcBorders>
              <w:left w:val="single" w:sz="12" w:space="0" w:color="000000"/>
              <w:right w:val="single" w:sz="4" w:space="0" w:color="000000"/>
            </w:tcBorders>
            <w:vAlign w:val="center"/>
          </w:tcPr>
          <w:p w14:paraId="4825A3F2" w14:textId="77777777" w:rsidR="00076856" w:rsidRPr="00A701FA" w:rsidRDefault="00DE4299" w:rsidP="00756C58">
            <w:pPr>
              <w:spacing w:line="360" w:lineRule="auto"/>
              <w:rPr>
                <w:rFonts w:ascii="Arial" w:eastAsia="Arial" w:hAnsi="Arial" w:cs="Arial"/>
                <w:sz w:val="20"/>
                <w:szCs w:val="20"/>
              </w:rPr>
            </w:pPr>
            <w:r w:rsidRPr="00A701FA">
              <w:rPr>
                <w:rFonts w:ascii="Arial" w:eastAsia="Arial" w:hAnsi="Arial" w:cs="Arial"/>
                <w:sz w:val="20"/>
                <w:szCs w:val="20"/>
              </w:rPr>
              <w:t xml:space="preserve">Društveno-humanističko </w:t>
            </w:r>
          </w:p>
          <w:p w14:paraId="670F4B89" w14:textId="77777777" w:rsidR="00076856" w:rsidRPr="00A701FA" w:rsidRDefault="00DE4299" w:rsidP="00756C58">
            <w:pPr>
              <w:spacing w:line="360" w:lineRule="auto"/>
              <w:rPr>
                <w:rFonts w:ascii="Arial" w:eastAsia="Arial" w:hAnsi="Arial" w:cs="Arial"/>
                <w:sz w:val="20"/>
                <w:szCs w:val="20"/>
              </w:rPr>
            </w:pPr>
            <w:r w:rsidRPr="00A701FA">
              <w:rPr>
                <w:rFonts w:ascii="Arial" w:eastAsia="Arial" w:hAnsi="Arial" w:cs="Arial"/>
                <w:sz w:val="20"/>
                <w:szCs w:val="20"/>
              </w:rPr>
              <w:t>područje</w:t>
            </w:r>
          </w:p>
        </w:tc>
        <w:tc>
          <w:tcPr>
            <w:tcW w:w="1929" w:type="dxa"/>
            <w:tcBorders>
              <w:left w:val="single" w:sz="4" w:space="0" w:color="000000"/>
              <w:right w:val="single" w:sz="4" w:space="0" w:color="000000"/>
            </w:tcBorders>
            <w:vAlign w:val="center"/>
          </w:tcPr>
          <w:p w14:paraId="50D1B1B1" w14:textId="77777777" w:rsidR="00076856" w:rsidRPr="00A701FA" w:rsidRDefault="00DE4299" w:rsidP="00756C58">
            <w:pPr>
              <w:spacing w:line="360" w:lineRule="auto"/>
              <w:rPr>
                <w:rFonts w:ascii="Arial" w:eastAsia="Arial" w:hAnsi="Arial" w:cs="Arial"/>
                <w:sz w:val="20"/>
                <w:szCs w:val="20"/>
              </w:rPr>
            </w:pPr>
            <w:r w:rsidRPr="00A701FA">
              <w:rPr>
                <w:rFonts w:ascii="Arial" w:eastAsia="Arial" w:hAnsi="Arial" w:cs="Arial"/>
                <w:sz w:val="20"/>
                <w:szCs w:val="20"/>
              </w:rPr>
              <w:t>Broj (N)</w:t>
            </w:r>
          </w:p>
        </w:tc>
        <w:tc>
          <w:tcPr>
            <w:tcW w:w="1890" w:type="dxa"/>
            <w:tcBorders>
              <w:left w:val="single" w:sz="4" w:space="0" w:color="000000"/>
              <w:right w:val="single" w:sz="4" w:space="0" w:color="000000"/>
            </w:tcBorders>
            <w:vAlign w:val="center"/>
          </w:tcPr>
          <w:p w14:paraId="179AB4DC"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sz w:val="20"/>
                <w:szCs w:val="20"/>
              </w:rPr>
              <w:t>201</w:t>
            </w:r>
          </w:p>
        </w:tc>
        <w:tc>
          <w:tcPr>
            <w:tcW w:w="1811" w:type="dxa"/>
            <w:tcBorders>
              <w:left w:val="single" w:sz="4" w:space="0" w:color="000000"/>
              <w:right w:val="single" w:sz="4" w:space="0" w:color="000000"/>
            </w:tcBorders>
            <w:vAlign w:val="center"/>
          </w:tcPr>
          <w:p w14:paraId="2519226E"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sz w:val="20"/>
                <w:szCs w:val="20"/>
              </w:rPr>
              <w:t>671</w:t>
            </w:r>
          </w:p>
        </w:tc>
        <w:tc>
          <w:tcPr>
            <w:tcW w:w="1022" w:type="dxa"/>
            <w:tcBorders>
              <w:left w:val="single" w:sz="12" w:space="0" w:color="000000"/>
              <w:right w:val="single" w:sz="12" w:space="0" w:color="000000"/>
            </w:tcBorders>
            <w:vAlign w:val="center"/>
          </w:tcPr>
          <w:p w14:paraId="504AACE1"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sz w:val="20"/>
                <w:szCs w:val="20"/>
              </w:rPr>
              <w:t>872</w:t>
            </w:r>
          </w:p>
        </w:tc>
      </w:tr>
      <w:tr w:rsidR="00076856" w:rsidRPr="00A701FA" w14:paraId="486D8439" w14:textId="77777777" w:rsidTr="006D15B2">
        <w:trPr>
          <w:trHeight w:val="252"/>
        </w:trPr>
        <w:tc>
          <w:tcPr>
            <w:tcW w:w="2702" w:type="dxa"/>
            <w:vMerge/>
            <w:tcBorders>
              <w:left w:val="single" w:sz="12" w:space="0" w:color="000000"/>
              <w:right w:val="single" w:sz="4" w:space="0" w:color="000000"/>
            </w:tcBorders>
            <w:vAlign w:val="center"/>
          </w:tcPr>
          <w:p w14:paraId="627BCC18" w14:textId="77777777" w:rsidR="00076856" w:rsidRPr="00A701FA" w:rsidRDefault="00076856" w:rsidP="00756C58">
            <w:pPr>
              <w:widowControl w:val="0"/>
              <w:pBdr>
                <w:top w:val="nil"/>
                <w:left w:val="nil"/>
                <w:bottom w:val="nil"/>
                <w:right w:val="nil"/>
                <w:between w:val="nil"/>
              </w:pBdr>
              <w:spacing w:line="360" w:lineRule="auto"/>
              <w:rPr>
                <w:rFonts w:ascii="Arial" w:eastAsia="Arial" w:hAnsi="Arial" w:cs="Arial"/>
                <w:sz w:val="20"/>
                <w:szCs w:val="20"/>
              </w:rPr>
            </w:pPr>
          </w:p>
        </w:tc>
        <w:tc>
          <w:tcPr>
            <w:tcW w:w="1929" w:type="dxa"/>
            <w:tcBorders>
              <w:left w:val="single" w:sz="4" w:space="0" w:color="000000"/>
              <w:right w:val="single" w:sz="4" w:space="0" w:color="000000"/>
            </w:tcBorders>
            <w:vAlign w:val="center"/>
          </w:tcPr>
          <w:p w14:paraId="42519AB2" w14:textId="77777777" w:rsidR="00076856" w:rsidRPr="00A701FA" w:rsidRDefault="00DE4299" w:rsidP="00756C58">
            <w:pPr>
              <w:spacing w:line="360" w:lineRule="auto"/>
              <w:rPr>
                <w:rFonts w:ascii="Arial" w:eastAsia="Arial" w:hAnsi="Arial" w:cs="Arial"/>
                <w:sz w:val="20"/>
                <w:szCs w:val="20"/>
              </w:rPr>
            </w:pPr>
            <w:r w:rsidRPr="00A701FA">
              <w:rPr>
                <w:rFonts w:ascii="Arial" w:eastAsia="Arial" w:hAnsi="Arial" w:cs="Arial"/>
                <w:sz w:val="20"/>
                <w:szCs w:val="20"/>
              </w:rPr>
              <w:t>% unutar područja</w:t>
            </w:r>
          </w:p>
        </w:tc>
        <w:tc>
          <w:tcPr>
            <w:tcW w:w="1890" w:type="dxa"/>
            <w:tcBorders>
              <w:left w:val="single" w:sz="4" w:space="0" w:color="000000"/>
              <w:right w:val="single" w:sz="4" w:space="0" w:color="000000"/>
            </w:tcBorders>
            <w:vAlign w:val="center"/>
          </w:tcPr>
          <w:p w14:paraId="4FA880AB"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sz w:val="20"/>
                <w:szCs w:val="20"/>
              </w:rPr>
              <w:t>23,1%</w:t>
            </w:r>
          </w:p>
        </w:tc>
        <w:tc>
          <w:tcPr>
            <w:tcW w:w="1811" w:type="dxa"/>
            <w:tcBorders>
              <w:left w:val="single" w:sz="4" w:space="0" w:color="000000"/>
              <w:right w:val="single" w:sz="4" w:space="0" w:color="000000"/>
            </w:tcBorders>
            <w:vAlign w:val="center"/>
          </w:tcPr>
          <w:p w14:paraId="0E5D1071"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sz w:val="20"/>
                <w:szCs w:val="20"/>
              </w:rPr>
              <w:t>76,9%</w:t>
            </w:r>
          </w:p>
        </w:tc>
        <w:tc>
          <w:tcPr>
            <w:tcW w:w="1022" w:type="dxa"/>
            <w:tcBorders>
              <w:left w:val="single" w:sz="12" w:space="0" w:color="000000"/>
              <w:right w:val="single" w:sz="12" w:space="0" w:color="000000"/>
            </w:tcBorders>
            <w:vAlign w:val="center"/>
          </w:tcPr>
          <w:p w14:paraId="234C7D3E"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sz w:val="20"/>
                <w:szCs w:val="20"/>
              </w:rPr>
              <w:t>100,0%</w:t>
            </w:r>
          </w:p>
        </w:tc>
      </w:tr>
      <w:tr w:rsidR="00076856" w:rsidRPr="00A701FA" w14:paraId="26CED37C" w14:textId="77777777" w:rsidTr="006D15B2">
        <w:trPr>
          <w:trHeight w:val="177"/>
        </w:trPr>
        <w:tc>
          <w:tcPr>
            <w:tcW w:w="2702" w:type="dxa"/>
            <w:vMerge w:val="restart"/>
            <w:tcBorders>
              <w:top w:val="single" w:sz="12" w:space="0" w:color="000000"/>
              <w:left w:val="single" w:sz="12" w:space="0" w:color="000000"/>
              <w:right w:val="single" w:sz="4" w:space="0" w:color="000000"/>
            </w:tcBorders>
            <w:shd w:val="clear" w:color="auto" w:fill="D9D9D9"/>
            <w:vAlign w:val="center"/>
          </w:tcPr>
          <w:p w14:paraId="2C764A3C" w14:textId="77777777" w:rsidR="00076856" w:rsidRPr="00A701FA" w:rsidRDefault="00DE4299" w:rsidP="00756C58">
            <w:pPr>
              <w:spacing w:line="360" w:lineRule="auto"/>
              <w:rPr>
                <w:rFonts w:ascii="Arial" w:eastAsia="Arial" w:hAnsi="Arial" w:cs="Arial"/>
                <w:sz w:val="20"/>
                <w:szCs w:val="20"/>
              </w:rPr>
            </w:pPr>
            <w:r w:rsidRPr="00A701FA">
              <w:rPr>
                <w:rFonts w:ascii="Arial" w:eastAsia="Arial" w:hAnsi="Arial" w:cs="Arial"/>
                <w:sz w:val="20"/>
                <w:szCs w:val="20"/>
              </w:rPr>
              <w:t>Ukupno</w:t>
            </w:r>
          </w:p>
        </w:tc>
        <w:tc>
          <w:tcPr>
            <w:tcW w:w="1929" w:type="dxa"/>
            <w:tcBorders>
              <w:top w:val="single" w:sz="12" w:space="0" w:color="000000"/>
              <w:left w:val="single" w:sz="4" w:space="0" w:color="000000"/>
              <w:bottom w:val="single" w:sz="4" w:space="0" w:color="000000"/>
              <w:right w:val="single" w:sz="4" w:space="0" w:color="000000"/>
            </w:tcBorders>
            <w:shd w:val="clear" w:color="auto" w:fill="D9D9D9"/>
            <w:vAlign w:val="center"/>
          </w:tcPr>
          <w:p w14:paraId="510ABD3B" w14:textId="77777777" w:rsidR="00076856" w:rsidRPr="00A701FA" w:rsidRDefault="00DE4299" w:rsidP="00756C58">
            <w:pPr>
              <w:spacing w:line="360" w:lineRule="auto"/>
              <w:rPr>
                <w:rFonts w:ascii="Arial" w:eastAsia="Arial" w:hAnsi="Arial" w:cs="Arial"/>
                <w:sz w:val="20"/>
                <w:szCs w:val="20"/>
              </w:rPr>
            </w:pPr>
            <w:r w:rsidRPr="00A701FA">
              <w:rPr>
                <w:rFonts w:ascii="Arial" w:eastAsia="Arial" w:hAnsi="Arial" w:cs="Arial"/>
                <w:sz w:val="20"/>
                <w:szCs w:val="20"/>
              </w:rPr>
              <w:t>Broj (N)</w:t>
            </w:r>
          </w:p>
        </w:tc>
        <w:tc>
          <w:tcPr>
            <w:tcW w:w="1890" w:type="dxa"/>
            <w:tcBorders>
              <w:top w:val="single" w:sz="12" w:space="0" w:color="000000"/>
              <w:left w:val="single" w:sz="4" w:space="0" w:color="000000"/>
              <w:right w:val="single" w:sz="4" w:space="0" w:color="000000"/>
            </w:tcBorders>
            <w:shd w:val="clear" w:color="auto" w:fill="D9D9D9"/>
            <w:vAlign w:val="center"/>
          </w:tcPr>
          <w:p w14:paraId="240A6DAE"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sz w:val="20"/>
                <w:szCs w:val="20"/>
              </w:rPr>
              <w:t>292</w:t>
            </w:r>
          </w:p>
        </w:tc>
        <w:tc>
          <w:tcPr>
            <w:tcW w:w="1811" w:type="dxa"/>
            <w:tcBorders>
              <w:top w:val="single" w:sz="12" w:space="0" w:color="000000"/>
              <w:left w:val="single" w:sz="4" w:space="0" w:color="000000"/>
              <w:right w:val="single" w:sz="4" w:space="0" w:color="000000"/>
            </w:tcBorders>
            <w:shd w:val="clear" w:color="auto" w:fill="D9D9D9"/>
            <w:vAlign w:val="center"/>
          </w:tcPr>
          <w:p w14:paraId="3F1E7F9B"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sz w:val="20"/>
                <w:szCs w:val="20"/>
              </w:rPr>
              <w:t>1131</w:t>
            </w:r>
          </w:p>
        </w:tc>
        <w:tc>
          <w:tcPr>
            <w:tcW w:w="1022" w:type="dxa"/>
            <w:tcBorders>
              <w:top w:val="single" w:sz="12" w:space="0" w:color="000000"/>
              <w:left w:val="single" w:sz="12" w:space="0" w:color="000000"/>
              <w:right w:val="single" w:sz="12" w:space="0" w:color="000000"/>
            </w:tcBorders>
            <w:shd w:val="clear" w:color="auto" w:fill="D9D9D9"/>
            <w:vAlign w:val="center"/>
          </w:tcPr>
          <w:p w14:paraId="10123D85"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sz w:val="20"/>
                <w:szCs w:val="20"/>
              </w:rPr>
              <w:t>1423</w:t>
            </w:r>
          </w:p>
        </w:tc>
      </w:tr>
      <w:tr w:rsidR="00076856" w:rsidRPr="00A701FA" w14:paraId="5FA7D7FC" w14:textId="77777777" w:rsidTr="006D15B2">
        <w:trPr>
          <w:trHeight w:val="252"/>
        </w:trPr>
        <w:tc>
          <w:tcPr>
            <w:tcW w:w="2702" w:type="dxa"/>
            <w:vMerge/>
            <w:tcBorders>
              <w:top w:val="single" w:sz="12" w:space="0" w:color="000000"/>
              <w:left w:val="single" w:sz="12" w:space="0" w:color="000000"/>
              <w:right w:val="single" w:sz="4" w:space="0" w:color="000000"/>
            </w:tcBorders>
            <w:shd w:val="clear" w:color="auto" w:fill="D9D9D9"/>
            <w:vAlign w:val="center"/>
          </w:tcPr>
          <w:p w14:paraId="6794106A" w14:textId="77777777" w:rsidR="00076856" w:rsidRPr="00A701FA" w:rsidRDefault="00076856" w:rsidP="00756C58">
            <w:pPr>
              <w:widowControl w:val="0"/>
              <w:pBdr>
                <w:top w:val="nil"/>
                <w:left w:val="nil"/>
                <w:bottom w:val="nil"/>
                <w:right w:val="nil"/>
                <w:between w:val="nil"/>
              </w:pBdr>
              <w:spacing w:line="360" w:lineRule="auto"/>
              <w:rPr>
                <w:rFonts w:ascii="Arial" w:eastAsia="Arial" w:hAnsi="Arial" w:cs="Arial"/>
                <w:sz w:val="20"/>
                <w:szCs w:val="20"/>
              </w:rPr>
            </w:pPr>
          </w:p>
        </w:tc>
        <w:tc>
          <w:tcPr>
            <w:tcW w:w="1929" w:type="dxa"/>
            <w:tcBorders>
              <w:top w:val="single" w:sz="4" w:space="0" w:color="000000"/>
              <w:left w:val="single" w:sz="4" w:space="0" w:color="000000"/>
              <w:bottom w:val="single" w:sz="12" w:space="0" w:color="000000"/>
              <w:right w:val="single" w:sz="4" w:space="0" w:color="000000"/>
            </w:tcBorders>
            <w:shd w:val="clear" w:color="auto" w:fill="D9D9D9"/>
            <w:vAlign w:val="center"/>
          </w:tcPr>
          <w:p w14:paraId="3646A094" w14:textId="77777777" w:rsidR="00076856" w:rsidRPr="00A701FA" w:rsidRDefault="00DE4299" w:rsidP="00756C58">
            <w:pPr>
              <w:spacing w:line="360" w:lineRule="auto"/>
              <w:rPr>
                <w:rFonts w:ascii="Arial" w:eastAsia="Arial" w:hAnsi="Arial" w:cs="Arial"/>
                <w:sz w:val="20"/>
                <w:szCs w:val="20"/>
              </w:rPr>
            </w:pPr>
            <w:r w:rsidRPr="00A701FA">
              <w:rPr>
                <w:rFonts w:ascii="Arial" w:eastAsia="Arial" w:hAnsi="Arial" w:cs="Arial"/>
                <w:sz w:val="20"/>
                <w:szCs w:val="20"/>
              </w:rPr>
              <w:t>Postotak (%)</w:t>
            </w:r>
          </w:p>
        </w:tc>
        <w:tc>
          <w:tcPr>
            <w:tcW w:w="1890" w:type="dxa"/>
            <w:tcBorders>
              <w:left w:val="single" w:sz="4" w:space="0" w:color="000000"/>
              <w:bottom w:val="single" w:sz="12" w:space="0" w:color="000000"/>
              <w:right w:val="single" w:sz="4" w:space="0" w:color="000000"/>
            </w:tcBorders>
            <w:shd w:val="clear" w:color="auto" w:fill="D9D9D9"/>
            <w:vAlign w:val="center"/>
          </w:tcPr>
          <w:p w14:paraId="4E8B2116"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sz w:val="20"/>
                <w:szCs w:val="20"/>
              </w:rPr>
              <w:t>20,5%</w:t>
            </w:r>
          </w:p>
        </w:tc>
        <w:tc>
          <w:tcPr>
            <w:tcW w:w="1811" w:type="dxa"/>
            <w:tcBorders>
              <w:left w:val="single" w:sz="4" w:space="0" w:color="000000"/>
              <w:bottom w:val="single" w:sz="12" w:space="0" w:color="000000"/>
              <w:right w:val="single" w:sz="4" w:space="0" w:color="000000"/>
            </w:tcBorders>
            <w:shd w:val="clear" w:color="auto" w:fill="D9D9D9"/>
            <w:vAlign w:val="center"/>
          </w:tcPr>
          <w:p w14:paraId="4A81223B"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sz w:val="20"/>
                <w:szCs w:val="20"/>
              </w:rPr>
              <w:t>79,5%</w:t>
            </w:r>
          </w:p>
        </w:tc>
        <w:tc>
          <w:tcPr>
            <w:tcW w:w="1022" w:type="dxa"/>
            <w:tcBorders>
              <w:left w:val="single" w:sz="12" w:space="0" w:color="000000"/>
              <w:bottom w:val="single" w:sz="12" w:space="0" w:color="000000"/>
              <w:right w:val="single" w:sz="12" w:space="0" w:color="000000"/>
            </w:tcBorders>
            <w:shd w:val="clear" w:color="auto" w:fill="D9D9D9"/>
            <w:vAlign w:val="center"/>
          </w:tcPr>
          <w:p w14:paraId="570B1816" w14:textId="77777777" w:rsidR="00076856" w:rsidRPr="00A701FA" w:rsidRDefault="00DE4299" w:rsidP="00756C58">
            <w:pPr>
              <w:spacing w:line="360" w:lineRule="auto"/>
              <w:jc w:val="right"/>
              <w:rPr>
                <w:rFonts w:ascii="Arial" w:eastAsia="Arial" w:hAnsi="Arial" w:cs="Arial"/>
                <w:sz w:val="20"/>
                <w:szCs w:val="20"/>
              </w:rPr>
            </w:pPr>
            <w:r w:rsidRPr="00A701FA">
              <w:rPr>
                <w:rFonts w:ascii="Arial" w:eastAsia="Arial" w:hAnsi="Arial" w:cs="Arial"/>
                <w:sz w:val="20"/>
                <w:szCs w:val="20"/>
              </w:rPr>
              <w:t>100,0%</w:t>
            </w:r>
          </w:p>
        </w:tc>
      </w:tr>
    </w:tbl>
    <w:p w14:paraId="4515D023" w14:textId="77777777" w:rsidR="00076856" w:rsidRDefault="00076856" w:rsidP="00756C58">
      <w:pPr>
        <w:spacing w:before="240" w:after="240" w:line="360" w:lineRule="auto"/>
        <w:rPr>
          <w:rFonts w:ascii="Arial" w:eastAsia="Arial" w:hAnsi="Arial" w:cs="Arial"/>
        </w:rPr>
      </w:pPr>
    </w:p>
    <w:p w14:paraId="70DEB6A3" w14:textId="77777777" w:rsidR="00076856" w:rsidRPr="00A701FA" w:rsidRDefault="00DE4299" w:rsidP="00756C58">
      <w:pPr>
        <w:spacing w:before="240" w:after="240" w:line="360" w:lineRule="auto"/>
        <w:rPr>
          <w:rFonts w:ascii="Arial" w:eastAsia="Arial" w:hAnsi="Arial" w:cs="Arial"/>
          <w:sz w:val="20"/>
        </w:rPr>
      </w:pPr>
      <w:r w:rsidRPr="00A701FA">
        <w:rPr>
          <w:rFonts w:ascii="Arial" w:eastAsia="Arial" w:hAnsi="Arial" w:cs="Arial"/>
          <w:sz w:val="20"/>
        </w:rPr>
        <w:t>Statistički neznačajne razlike u odgovoru na peto pitanje bile su razlike prema spolu (ꭓ</w:t>
      </w:r>
      <w:r w:rsidRPr="00A701FA">
        <w:rPr>
          <w:rFonts w:ascii="Arial" w:eastAsia="Arial" w:hAnsi="Arial" w:cs="Arial"/>
          <w:sz w:val="20"/>
          <w:vertAlign w:val="superscript"/>
        </w:rPr>
        <w:t>2</w:t>
      </w:r>
      <w:r w:rsidRPr="00A701FA">
        <w:rPr>
          <w:rFonts w:ascii="Arial" w:eastAsia="Arial" w:hAnsi="Arial" w:cs="Arial"/>
          <w:sz w:val="20"/>
        </w:rPr>
        <w:t>= 0,874; df = 1; P = 0,350 uz Yatesovu korekciju) te prema gradu (ꭓ</w:t>
      </w:r>
      <w:r w:rsidRPr="00A701FA">
        <w:rPr>
          <w:rFonts w:ascii="Arial" w:eastAsia="Arial" w:hAnsi="Arial" w:cs="Arial"/>
          <w:sz w:val="20"/>
          <w:vertAlign w:val="superscript"/>
        </w:rPr>
        <w:t>2</w:t>
      </w:r>
      <w:r w:rsidRPr="00A701FA">
        <w:rPr>
          <w:rFonts w:ascii="Arial" w:eastAsia="Arial" w:hAnsi="Arial" w:cs="Arial"/>
          <w:sz w:val="20"/>
        </w:rPr>
        <w:t>= 1,238; df = 2; P = 0,539).</w:t>
      </w:r>
    </w:p>
    <w:p w14:paraId="2B1188F2" w14:textId="77777777" w:rsidR="00076856" w:rsidRDefault="00076856" w:rsidP="00756C58">
      <w:pPr>
        <w:spacing w:before="240" w:after="240" w:line="360" w:lineRule="auto"/>
        <w:rPr>
          <w:rFonts w:ascii="Arial" w:eastAsia="Arial" w:hAnsi="Arial" w:cs="Arial"/>
        </w:rPr>
      </w:pPr>
    </w:p>
    <w:p w14:paraId="5ABF7DF6" w14:textId="77777777" w:rsidR="00076856" w:rsidRPr="0075286B" w:rsidRDefault="00DE4299" w:rsidP="00756C58">
      <w:pPr>
        <w:pStyle w:val="Heading2"/>
        <w:numPr>
          <w:ilvl w:val="1"/>
          <w:numId w:val="1"/>
        </w:numPr>
        <w:spacing w:before="240" w:after="240" w:line="360" w:lineRule="auto"/>
        <w:ind w:firstLine="0"/>
        <w:rPr>
          <w:rFonts w:ascii="Arial" w:eastAsia="Arial" w:hAnsi="Arial" w:cs="Arial"/>
          <w:sz w:val="24"/>
          <w:szCs w:val="24"/>
        </w:rPr>
      </w:pPr>
      <w:bookmarkStart w:id="30" w:name="_heading=h.jmcy2ctheliy" w:colFirst="0" w:colLast="0"/>
      <w:bookmarkStart w:id="31" w:name="_Toc75635807"/>
      <w:bookmarkEnd w:id="30"/>
      <w:r w:rsidRPr="0075286B">
        <w:rPr>
          <w:rFonts w:ascii="Arial" w:eastAsia="Arial" w:hAnsi="Arial" w:cs="Arial"/>
          <w:sz w:val="24"/>
          <w:szCs w:val="24"/>
        </w:rPr>
        <w:lastRenderedPageBreak/>
        <w:t>Šesto pitanje: Pušite li tijekom većine dana u slučaju kad ste toliko bolesni da Vas veže uz krevet?</w:t>
      </w:r>
      <w:bookmarkEnd w:id="31"/>
    </w:p>
    <w:p w14:paraId="7F501C3B" w14:textId="77777777" w:rsidR="00076856" w:rsidRPr="006D15B2" w:rsidRDefault="00DE4299" w:rsidP="00756C58">
      <w:pPr>
        <w:spacing w:before="240" w:after="240" w:line="360" w:lineRule="auto"/>
        <w:jc w:val="both"/>
        <w:rPr>
          <w:rFonts w:ascii="Arial" w:eastAsia="Arial" w:hAnsi="Arial" w:cs="Arial"/>
          <w:sz w:val="20"/>
        </w:rPr>
      </w:pPr>
      <w:r w:rsidRPr="006D15B2">
        <w:rPr>
          <w:rFonts w:ascii="Arial" w:eastAsia="Arial" w:hAnsi="Arial" w:cs="Arial"/>
          <w:sz w:val="20"/>
        </w:rPr>
        <w:t>Ukupno 91,4% ispitanika navelo je kako ne puše kada su toliko bolesni da ih bolest veže za krevet. Razlike prema spolu nisu bile statistički značajne (ꭓ</w:t>
      </w:r>
      <w:r w:rsidRPr="006D15B2">
        <w:rPr>
          <w:rFonts w:ascii="Arial" w:eastAsia="Arial" w:hAnsi="Arial" w:cs="Arial"/>
          <w:sz w:val="20"/>
          <w:vertAlign w:val="superscript"/>
        </w:rPr>
        <w:t>2</w:t>
      </w:r>
      <w:r w:rsidRPr="006D15B2">
        <w:rPr>
          <w:rFonts w:ascii="Arial" w:eastAsia="Arial" w:hAnsi="Arial" w:cs="Arial"/>
          <w:sz w:val="20"/>
        </w:rPr>
        <w:t>= 0,874; df = 1;  P = 0,350 uz Yatesovu korekciju), kao ni razlike prema gradu (ꭓ</w:t>
      </w:r>
      <w:r w:rsidRPr="006D15B2">
        <w:rPr>
          <w:rFonts w:ascii="Arial" w:eastAsia="Arial" w:hAnsi="Arial" w:cs="Arial"/>
          <w:sz w:val="20"/>
          <w:vertAlign w:val="superscript"/>
        </w:rPr>
        <w:t>2</w:t>
      </w:r>
      <w:r w:rsidRPr="006D15B2">
        <w:rPr>
          <w:rFonts w:ascii="Arial" w:eastAsia="Arial" w:hAnsi="Arial" w:cs="Arial"/>
          <w:sz w:val="20"/>
        </w:rPr>
        <w:t>= 1,238; df = 2; P = 0,539). Razlike između studenata medicine i ostalih studenata također nisu bile statistički značajne (ꭓ</w:t>
      </w:r>
      <w:r w:rsidRPr="006D15B2">
        <w:rPr>
          <w:rFonts w:ascii="Arial" w:eastAsia="Arial" w:hAnsi="Arial" w:cs="Arial"/>
          <w:sz w:val="20"/>
          <w:vertAlign w:val="superscript"/>
        </w:rPr>
        <w:t>2</w:t>
      </w:r>
      <w:r w:rsidRPr="006D15B2">
        <w:rPr>
          <w:rFonts w:ascii="Arial" w:eastAsia="Arial" w:hAnsi="Arial" w:cs="Arial"/>
          <w:sz w:val="20"/>
        </w:rPr>
        <w:t>= 3,695; df = 1; P = 0,055 uz Yatesovu korekciju), kao ni prema području studija (ꭓ</w:t>
      </w:r>
      <w:r w:rsidRPr="006D15B2">
        <w:rPr>
          <w:rFonts w:ascii="Arial" w:eastAsia="Arial" w:hAnsi="Arial" w:cs="Arial"/>
          <w:sz w:val="20"/>
          <w:vertAlign w:val="superscript"/>
        </w:rPr>
        <w:t>2</w:t>
      </w:r>
      <w:r w:rsidRPr="006D15B2">
        <w:rPr>
          <w:rFonts w:ascii="Arial" w:eastAsia="Arial" w:hAnsi="Arial" w:cs="Arial"/>
          <w:sz w:val="20"/>
        </w:rPr>
        <w:t>= 4,140; df = 2; P = 0,126).</w:t>
      </w:r>
    </w:p>
    <w:p w14:paraId="3F5809C8" w14:textId="77777777" w:rsidR="00076856" w:rsidRPr="006D15B2" w:rsidRDefault="00DE4299" w:rsidP="00756C58">
      <w:pPr>
        <w:spacing w:before="240" w:after="240" w:line="360" w:lineRule="auto"/>
        <w:rPr>
          <w:rFonts w:ascii="Arial" w:eastAsia="Arial" w:hAnsi="Arial" w:cs="Arial"/>
          <w:b/>
          <w:sz w:val="20"/>
        </w:rPr>
      </w:pPr>
      <w:r w:rsidRPr="006D15B2">
        <w:rPr>
          <w:rFonts w:ascii="Arial" w:eastAsia="Arial" w:hAnsi="Arial" w:cs="Arial"/>
          <w:b/>
          <w:sz w:val="20"/>
        </w:rPr>
        <w:t>Tablica 9.</w:t>
      </w:r>
      <w:r w:rsidRPr="006D15B2">
        <w:rPr>
          <w:rFonts w:ascii="Arial" w:eastAsia="Arial" w:hAnsi="Arial" w:cs="Arial"/>
          <w:b/>
          <w:sz w:val="20"/>
        </w:rPr>
        <w:tab/>
      </w:r>
      <w:r w:rsidRPr="006D15B2">
        <w:rPr>
          <w:rFonts w:ascii="Arial" w:eastAsia="Arial" w:hAnsi="Arial" w:cs="Arial"/>
          <w:sz w:val="20"/>
        </w:rPr>
        <w:t>Odgovori ispitanika na 6. pitanje.</w:t>
      </w:r>
    </w:p>
    <w:tbl>
      <w:tblPr>
        <w:tblStyle w:val="afb"/>
        <w:tblW w:w="4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3"/>
        <w:gridCol w:w="905"/>
        <w:gridCol w:w="1361"/>
      </w:tblGrid>
      <w:tr w:rsidR="00076856" w:rsidRPr="00A54222" w14:paraId="7157283B" w14:textId="77777777">
        <w:trPr>
          <w:trHeight w:val="992"/>
        </w:trPr>
        <w:tc>
          <w:tcPr>
            <w:tcW w:w="2173" w:type="dxa"/>
            <w:tcBorders>
              <w:top w:val="single" w:sz="12" w:space="0" w:color="000000"/>
              <w:left w:val="single" w:sz="12" w:space="0" w:color="000000"/>
              <w:bottom w:val="single" w:sz="12" w:space="0" w:color="000000"/>
            </w:tcBorders>
            <w:shd w:val="clear" w:color="auto" w:fill="D9D9D9"/>
            <w:vAlign w:val="center"/>
          </w:tcPr>
          <w:p w14:paraId="2F7C0B5C" w14:textId="77777777" w:rsidR="00076856" w:rsidRPr="00A54222" w:rsidRDefault="00DE4299" w:rsidP="00756C58">
            <w:pPr>
              <w:spacing w:line="360" w:lineRule="auto"/>
              <w:rPr>
                <w:rFonts w:ascii="Arial" w:eastAsia="Arial" w:hAnsi="Arial" w:cs="Arial"/>
                <w:sz w:val="20"/>
                <w:szCs w:val="20"/>
              </w:rPr>
            </w:pPr>
            <w:r w:rsidRPr="00A54222">
              <w:rPr>
                <w:rFonts w:ascii="Arial" w:eastAsia="Arial" w:hAnsi="Arial" w:cs="Arial"/>
                <w:sz w:val="20"/>
                <w:szCs w:val="20"/>
              </w:rPr>
              <w:t>Odgovori na 6. pitanje</w:t>
            </w:r>
          </w:p>
        </w:tc>
        <w:tc>
          <w:tcPr>
            <w:tcW w:w="905" w:type="dxa"/>
            <w:tcBorders>
              <w:top w:val="single" w:sz="12" w:space="0" w:color="000000"/>
              <w:bottom w:val="single" w:sz="12" w:space="0" w:color="000000"/>
            </w:tcBorders>
            <w:shd w:val="clear" w:color="auto" w:fill="D9D9D9"/>
            <w:vAlign w:val="center"/>
          </w:tcPr>
          <w:p w14:paraId="44CC89C2" w14:textId="77777777" w:rsidR="00076856" w:rsidRPr="00A54222" w:rsidRDefault="00DE4299" w:rsidP="00756C58">
            <w:pPr>
              <w:spacing w:line="360" w:lineRule="auto"/>
              <w:rPr>
                <w:rFonts w:ascii="Arial" w:eastAsia="Arial" w:hAnsi="Arial" w:cs="Arial"/>
                <w:sz w:val="20"/>
                <w:szCs w:val="20"/>
              </w:rPr>
            </w:pPr>
            <w:r w:rsidRPr="00A54222">
              <w:rPr>
                <w:rFonts w:ascii="Arial" w:eastAsia="Arial" w:hAnsi="Arial" w:cs="Arial"/>
                <w:sz w:val="20"/>
                <w:szCs w:val="20"/>
              </w:rPr>
              <w:t>Broj (N)</w:t>
            </w:r>
          </w:p>
        </w:tc>
        <w:tc>
          <w:tcPr>
            <w:tcW w:w="1361" w:type="dxa"/>
            <w:tcBorders>
              <w:top w:val="single" w:sz="12" w:space="0" w:color="000000"/>
              <w:bottom w:val="single" w:sz="12" w:space="0" w:color="000000"/>
              <w:right w:val="single" w:sz="12" w:space="0" w:color="000000"/>
            </w:tcBorders>
            <w:shd w:val="clear" w:color="auto" w:fill="D9D9D9"/>
            <w:vAlign w:val="center"/>
          </w:tcPr>
          <w:p w14:paraId="75CDC04C" w14:textId="77777777" w:rsidR="00076856" w:rsidRPr="00A54222" w:rsidRDefault="00DE4299" w:rsidP="00756C58">
            <w:pPr>
              <w:spacing w:line="360" w:lineRule="auto"/>
              <w:rPr>
                <w:rFonts w:ascii="Arial" w:eastAsia="Arial" w:hAnsi="Arial" w:cs="Arial"/>
                <w:sz w:val="20"/>
                <w:szCs w:val="20"/>
              </w:rPr>
            </w:pPr>
            <w:r w:rsidRPr="00A54222">
              <w:rPr>
                <w:rFonts w:ascii="Arial" w:eastAsia="Arial" w:hAnsi="Arial" w:cs="Arial"/>
                <w:sz w:val="20"/>
                <w:szCs w:val="20"/>
              </w:rPr>
              <w:t>Postotak (%)</w:t>
            </w:r>
          </w:p>
        </w:tc>
      </w:tr>
      <w:tr w:rsidR="00076856" w:rsidRPr="00A54222" w14:paraId="15D1E895" w14:textId="77777777">
        <w:trPr>
          <w:trHeight w:val="425"/>
        </w:trPr>
        <w:tc>
          <w:tcPr>
            <w:tcW w:w="2173" w:type="dxa"/>
            <w:tcBorders>
              <w:top w:val="single" w:sz="12" w:space="0" w:color="000000"/>
              <w:left w:val="single" w:sz="12" w:space="0" w:color="000000"/>
            </w:tcBorders>
            <w:vAlign w:val="center"/>
          </w:tcPr>
          <w:p w14:paraId="37AF4CC1" w14:textId="77777777" w:rsidR="00076856" w:rsidRPr="00A54222" w:rsidRDefault="00DE4299" w:rsidP="00756C58">
            <w:pPr>
              <w:spacing w:line="360" w:lineRule="auto"/>
              <w:rPr>
                <w:rFonts w:ascii="Arial" w:eastAsia="Arial" w:hAnsi="Arial" w:cs="Arial"/>
                <w:sz w:val="20"/>
                <w:szCs w:val="20"/>
              </w:rPr>
            </w:pPr>
            <w:r w:rsidRPr="00A54222">
              <w:rPr>
                <w:rFonts w:ascii="Arial" w:eastAsia="Arial" w:hAnsi="Arial" w:cs="Arial"/>
                <w:sz w:val="20"/>
                <w:szCs w:val="20"/>
              </w:rPr>
              <w:t>DA</w:t>
            </w:r>
          </w:p>
        </w:tc>
        <w:tc>
          <w:tcPr>
            <w:tcW w:w="905" w:type="dxa"/>
            <w:tcBorders>
              <w:top w:val="single" w:sz="12" w:space="0" w:color="000000"/>
            </w:tcBorders>
            <w:vAlign w:val="center"/>
          </w:tcPr>
          <w:p w14:paraId="5B20628D" w14:textId="77777777" w:rsidR="00076856" w:rsidRPr="00A54222" w:rsidRDefault="00DE4299" w:rsidP="00756C58">
            <w:pPr>
              <w:spacing w:line="360" w:lineRule="auto"/>
              <w:jc w:val="right"/>
              <w:rPr>
                <w:rFonts w:ascii="Arial" w:eastAsia="Arial" w:hAnsi="Arial" w:cs="Arial"/>
                <w:sz w:val="20"/>
                <w:szCs w:val="20"/>
              </w:rPr>
            </w:pPr>
            <w:r w:rsidRPr="00A54222">
              <w:rPr>
                <w:rFonts w:ascii="Arial" w:eastAsia="Arial" w:hAnsi="Arial" w:cs="Arial"/>
                <w:color w:val="010205"/>
                <w:sz w:val="20"/>
                <w:szCs w:val="20"/>
              </w:rPr>
              <w:t>122</w:t>
            </w:r>
          </w:p>
        </w:tc>
        <w:tc>
          <w:tcPr>
            <w:tcW w:w="1361" w:type="dxa"/>
            <w:tcBorders>
              <w:top w:val="single" w:sz="12" w:space="0" w:color="000000"/>
              <w:right w:val="single" w:sz="12" w:space="0" w:color="000000"/>
            </w:tcBorders>
            <w:vAlign w:val="center"/>
          </w:tcPr>
          <w:p w14:paraId="04719E48" w14:textId="77777777" w:rsidR="00076856" w:rsidRPr="00A54222" w:rsidRDefault="00DE4299" w:rsidP="00756C58">
            <w:pPr>
              <w:spacing w:line="360" w:lineRule="auto"/>
              <w:jc w:val="right"/>
              <w:rPr>
                <w:rFonts w:ascii="Arial" w:eastAsia="Arial" w:hAnsi="Arial" w:cs="Arial"/>
                <w:sz w:val="20"/>
                <w:szCs w:val="20"/>
              </w:rPr>
            </w:pPr>
            <w:r w:rsidRPr="00A54222">
              <w:rPr>
                <w:rFonts w:ascii="Arial" w:eastAsia="Arial" w:hAnsi="Arial" w:cs="Arial"/>
                <w:color w:val="010205"/>
                <w:sz w:val="20"/>
                <w:szCs w:val="20"/>
              </w:rPr>
              <w:t>8,6</w:t>
            </w:r>
          </w:p>
        </w:tc>
      </w:tr>
      <w:tr w:rsidR="00076856" w:rsidRPr="00A54222" w14:paraId="0DFCDA50" w14:textId="77777777">
        <w:trPr>
          <w:trHeight w:val="425"/>
        </w:trPr>
        <w:tc>
          <w:tcPr>
            <w:tcW w:w="2173" w:type="dxa"/>
            <w:tcBorders>
              <w:left w:val="single" w:sz="12" w:space="0" w:color="000000"/>
            </w:tcBorders>
            <w:vAlign w:val="center"/>
          </w:tcPr>
          <w:p w14:paraId="30D446FD" w14:textId="77777777" w:rsidR="00076856" w:rsidRPr="00A54222" w:rsidRDefault="00DE4299" w:rsidP="00756C58">
            <w:pPr>
              <w:spacing w:line="360" w:lineRule="auto"/>
              <w:rPr>
                <w:rFonts w:ascii="Arial" w:eastAsia="Arial" w:hAnsi="Arial" w:cs="Arial"/>
                <w:sz w:val="20"/>
                <w:szCs w:val="20"/>
              </w:rPr>
            </w:pPr>
            <w:r w:rsidRPr="00A54222">
              <w:rPr>
                <w:rFonts w:ascii="Arial" w:eastAsia="Arial" w:hAnsi="Arial" w:cs="Arial"/>
                <w:sz w:val="20"/>
                <w:szCs w:val="20"/>
              </w:rPr>
              <w:t>NE</w:t>
            </w:r>
          </w:p>
        </w:tc>
        <w:tc>
          <w:tcPr>
            <w:tcW w:w="905" w:type="dxa"/>
            <w:vAlign w:val="center"/>
          </w:tcPr>
          <w:p w14:paraId="5AB42DDA" w14:textId="77777777" w:rsidR="00076856" w:rsidRPr="00A54222" w:rsidRDefault="00DE4299" w:rsidP="00756C58">
            <w:pPr>
              <w:spacing w:line="360" w:lineRule="auto"/>
              <w:jc w:val="right"/>
              <w:rPr>
                <w:rFonts w:ascii="Arial" w:eastAsia="Arial" w:hAnsi="Arial" w:cs="Arial"/>
                <w:sz w:val="20"/>
                <w:szCs w:val="20"/>
              </w:rPr>
            </w:pPr>
            <w:r w:rsidRPr="00A54222">
              <w:rPr>
                <w:rFonts w:ascii="Arial" w:eastAsia="Arial" w:hAnsi="Arial" w:cs="Arial"/>
                <w:color w:val="010205"/>
                <w:sz w:val="20"/>
                <w:szCs w:val="20"/>
              </w:rPr>
              <w:t>1301</w:t>
            </w:r>
          </w:p>
        </w:tc>
        <w:tc>
          <w:tcPr>
            <w:tcW w:w="1361" w:type="dxa"/>
            <w:tcBorders>
              <w:right w:val="single" w:sz="12" w:space="0" w:color="000000"/>
            </w:tcBorders>
            <w:vAlign w:val="center"/>
          </w:tcPr>
          <w:p w14:paraId="4D4FEB25" w14:textId="77777777" w:rsidR="00076856" w:rsidRPr="00A54222" w:rsidRDefault="00DE4299" w:rsidP="00756C58">
            <w:pPr>
              <w:spacing w:line="360" w:lineRule="auto"/>
              <w:jc w:val="right"/>
              <w:rPr>
                <w:rFonts w:ascii="Arial" w:eastAsia="Arial" w:hAnsi="Arial" w:cs="Arial"/>
                <w:sz w:val="20"/>
                <w:szCs w:val="20"/>
              </w:rPr>
            </w:pPr>
            <w:r w:rsidRPr="00A54222">
              <w:rPr>
                <w:rFonts w:ascii="Arial" w:eastAsia="Arial" w:hAnsi="Arial" w:cs="Arial"/>
                <w:color w:val="010205"/>
                <w:sz w:val="20"/>
                <w:szCs w:val="20"/>
              </w:rPr>
              <w:t>91,4</w:t>
            </w:r>
          </w:p>
        </w:tc>
      </w:tr>
      <w:tr w:rsidR="00076856" w:rsidRPr="00A54222" w14:paraId="4860DC1D" w14:textId="77777777">
        <w:trPr>
          <w:trHeight w:val="425"/>
        </w:trPr>
        <w:tc>
          <w:tcPr>
            <w:tcW w:w="2173" w:type="dxa"/>
            <w:tcBorders>
              <w:top w:val="single" w:sz="12" w:space="0" w:color="000000"/>
              <w:left w:val="single" w:sz="12" w:space="0" w:color="000000"/>
              <w:bottom w:val="single" w:sz="12" w:space="0" w:color="000000"/>
            </w:tcBorders>
            <w:shd w:val="clear" w:color="auto" w:fill="D9D9D9"/>
            <w:vAlign w:val="center"/>
          </w:tcPr>
          <w:p w14:paraId="384FE9CF" w14:textId="77777777" w:rsidR="00076856" w:rsidRPr="00A54222" w:rsidRDefault="00DE4299" w:rsidP="00756C58">
            <w:pPr>
              <w:spacing w:line="360" w:lineRule="auto"/>
              <w:rPr>
                <w:rFonts w:ascii="Arial" w:eastAsia="Arial" w:hAnsi="Arial" w:cs="Arial"/>
                <w:sz w:val="20"/>
                <w:szCs w:val="20"/>
              </w:rPr>
            </w:pPr>
            <w:r w:rsidRPr="00A54222">
              <w:rPr>
                <w:rFonts w:ascii="Arial" w:eastAsia="Arial" w:hAnsi="Arial" w:cs="Arial"/>
                <w:sz w:val="20"/>
                <w:szCs w:val="20"/>
              </w:rPr>
              <w:t>Ukupno</w:t>
            </w:r>
          </w:p>
        </w:tc>
        <w:tc>
          <w:tcPr>
            <w:tcW w:w="905" w:type="dxa"/>
            <w:tcBorders>
              <w:top w:val="single" w:sz="12" w:space="0" w:color="000000"/>
              <w:bottom w:val="single" w:sz="12" w:space="0" w:color="000000"/>
            </w:tcBorders>
            <w:shd w:val="clear" w:color="auto" w:fill="D9D9D9"/>
            <w:vAlign w:val="center"/>
          </w:tcPr>
          <w:p w14:paraId="6CC96D42" w14:textId="77777777" w:rsidR="00076856" w:rsidRPr="00A54222" w:rsidRDefault="00DE4299" w:rsidP="00756C58">
            <w:pPr>
              <w:spacing w:line="360" w:lineRule="auto"/>
              <w:jc w:val="right"/>
              <w:rPr>
                <w:rFonts w:ascii="Arial" w:eastAsia="Arial" w:hAnsi="Arial" w:cs="Arial"/>
                <w:sz w:val="20"/>
                <w:szCs w:val="20"/>
              </w:rPr>
            </w:pPr>
            <w:r w:rsidRPr="00A54222">
              <w:rPr>
                <w:rFonts w:ascii="Arial" w:eastAsia="Arial" w:hAnsi="Arial" w:cs="Arial"/>
                <w:sz w:val="20"/>
                <w:szCs w:val="20"/>
              </w:rPr>
              <w:t>1423</w:t>
            </w:r>
          </w:p>
        </w:tc>
        <w:tc>
          <w:tcPr>
            <w:tcW w:w="1361" w:type="dxa"/>
            <w:tcBorders>
              <w:top w:val="single" w:sz="12" w:space="0" w:color="000000"/>
              <w:bottom w:val="single" w:sz="12" w:space="0" w:color="000000"/>
              <w:right w:val="single" w:sz="12" w:space="0" w:color="000000"/>
            </w:tcBorders>
            <w:shd w:val="clear" w:color="auto" w:fill="D9D9D9"/>
            <w:vAlign w:val="center"/>
          </w:tcPr>
          <w:p w14:paraId="06716CA0" w14:textId="77777777" w:rsidR="00076856" w:rsidRPr="00A54222" w:rsidRDefault="00DE4299" w:rsidP="00756C58">
            <w:pPr>
              <w:spacing w:line="360" w:lineRule="auto"/>
              <w:jc w:val="right"/>
              <w:rPr>
                <w:rFonts w:ascii="Arial" w:eastAsia="Arial" w:hAnsi="Arial" w:cs="Arial"/>
                <w:sz w:val="20"/>
                <w:szCs w:val="20"/>
              </w:rPr>
            </w:pPr>
            <w:r w:rsidRPr="00A54222">
              <w:rPr>
                <w:rFonts w:ascii="Arial" w:eastAsia="Arial" w:hAnsi="Arial" w:cs="Arial"/>
                <w:sz w:val="20"/>
                <w:szCs w:val="20"/>
              </w:rPr>
              <w:t>100,0</w:t>
            </w:r>
          </w:p>
        </w:tc>
      </w:tr>
    </w:tbl>
    <w:p w14:paraId="46E921E5" w14:textId="77777777" w:rsidR="00076856" w:rsidRDefault="00076856" w:rsidP="00756C58">
      <w:pPr>
        <w:pBdr>
          <w:top w:val="nil"/>
          <w:left w:val="nil"/>
          <w:bottom w:val="nil"/>
          <w:right w:val="nil"/>
          <w:between w:val="nil"/>
        </w:pBdr>
        <w:spacing w:line="360" w:lineRule="auto"/>
        <w:rPr>
          <w:rFonts w:ascii="Arial" w:eastAsia="Arial" w:hAnsi="Arial" w:cs="Arial"/>
          <w:b/>
        </w:rPr>
      </w:pPr>
    </w:p>
    <w:p w14:paraId="78C63477" w14:textId="77777777" w:rsidR="00076856" w:rsidRPr="0075286B" w:rsidRDefault="00DE4299" w:rsidP="00756C58">
      <w:pPr>
        <w:pStyle w:val="Heading2"/>
        <w:spacing w:line="360" w:lineRule="auto"/>
        <w:ind w:firstLine="720"/>
        <w:rPr>
          <w:rFonts w:ascii="Arial" w:eastAsia="Arial" w:hAnsi="Arial" w:cs="Arial"/>
          <w:sz w:val="22"/>
          <w:szCs w:val="24"/>
        </w:rPr>
      </w:pPr>
      <w:bookmarkStart w:id="32" w:name="_heading=h.7ydpc3vw6qlw" w:colFirst="0" w:colLast="0"/>
      <w:bookmarkStart w:id="33" w:name="_Toc75635808"/>
      <w:bookmarkEnd w:id="32"/>
      <w:r w:rsidRPr="0075286B">
        <w:rPr>
          <w:rFonts w:ascii="Arial" w:hAnsi="Arial" w:cs="Arial"/>
          <w:sz w:val="22"/>
          <w:szCs w:val="24"/>
        </w:rPr>
        <w:t xml:space="preserve">5.9. </w:t>
      </w:r>
      <w:r w:rsidR="001C6B46" w:rsidRPr="0075286B">
        <w:rPr>
          <w:rFonts w:ascii="Arial" w:hAnsi="Arial" w:cs="Arial"/>
          <w:sz w:val="22"/>
          <w:szCs w:val="24"/>
        </w:rPr>
        <w:tab/>
      </w:r>
      <w:r w:rsidRPr="0075286B">
        <w:rPr>
          <w:rFonts w:ascii="Arial" w:hAnsi="Arial" w:cs="Arial"/>
          <w:sz w:val="24"/>
          <w:szCs w:val="24"/>
        </w:rPr>
        <w:t>Pitanje o potencijalnom prihvaćanju lijeka</w:t>
      </w:r>
      <w:bookmarkEnd w:id="33"/>
    </w:p>
    <w:p w14:paraId="66D7B71C" w14:textId="77777777" w:rsidR="00076856" w:rsidRPr="006D15B2" w:rsidRDefault="00DE4299" w:rsidP="00756C58">
      <w:pPr>
        <w:spacing w:before="240" w:after="240" w:line="360" w:lineRule="auto"/>
        <w:jc w:val="both"/>
        <w:rPr>
          <w:rFonts w:ascii="Arial" w:eastAsia="Arial" w:hAnsi="Arial" w:cs="Arial"/>
          <w:b/>
          <w:sz w:val="20"/>
        </w:rPr>
      </w:pPr>
      <w:r w:rsidRPr="006D15B2">
        <w:rPr>
          <w:rFonts w:ascii="Arial" w:eastAsia="Arial" w:hAnsi="Arial" w:cs="Arial"/>
          <w:sz w:val="20"/>
        </w:rPr>
        <w:t>U posljednjem pitanju ankete studenti su bili upitani bi li prihvatili lijek za pomoć pri prestanku pušenja ukoliko bi im bio ponuđen. Analiza odgovora na ovo pitanje pokazala je kako su studenti uglavnom neodlučni. Preko dvije trećine ispitanika na ovo je pitanje ponudilo ili odgovor „vjerojatno da“ ili „vjerojatno ne“. Treba istaknuti i podatak da bi dvostruko više ispitanika definitivno odbilo lijek nego što bi ga definitivno prihvatilo. Pritom su pronađene statistički značajne razlike u stavovima među spolovima; studentice su manje sklone prihvaćanju ponuđenog lijeka u usporedbi s muškim studentima (ꭓ</w:t>
      </w:r>
      <w:r w:rsidRPr="006D15B2">
        <w:rPr>
          <w:rFonts w:ascii="Arial" w:eastAsia="Arial" w:hAnsi="Arial" w:cs="Arial"/>
          <w:sz w:val="20"/>
          <w:vertAlign w:val="superscript"/>
        </w:rPr>
        <w:t>2</w:t>
      </w:r>
      <w:r w:rsidRPr="006D15B2">
        <w:rPr>
          <w:rFonts w:ascii="Arial" w:eastAsia="Arial" w:hAnsi="Arial" w:cs="Arial"/>
          <w:sz w:val="20"/>
        </w:rPr>
        <w:t>= 9,074; df = 3; P = 0,02; V = 0,083). Statistički značajne razlike nađene su i prema tipu studija. Studenti medicine generalno su skloniji ideji uzimanja lijeka za pomoć pri prestanku pušenja nego studenti ne-medicinskih područja (ꭓ</w:t>
      </w:r>
      <w:r w:rsidRPr="006D15B2">
        <w:rPr>
          <w:rFonts w:ascii="Arial" w:eastAsia="Arial" w:hAnsi="Arial" w:cs="Arial"/>
          <w:sz w:val="20"/>
          <w:vertAlign w:val="superscript"/>
        </w:rPr>
        <w:t>2</w:t>
      </w:r>
      <w:r w:rsidRPr="006D15B2">
        <w:rPr>
          <w:rFonts w:ascii="Arial" w:eastAsia="Arial" w:hAnsi="Arial" w:cs="Arial"/>
          <w:sz w:val="20"/>
        </w:rPr>
        <w:t>= 14,673; df = 3; P = 0,002; V = 0,102). Lijek bi definitivno prihvatilo 13,8% studenata medicine, a vjerojatno bi ga prihvatilo njih 31,4%. Lijek vjerojatno ne bi prihvatilo 36,7% studenata medicine dok ga definitivno ne bi prihvatilo njih 18,1%. Ponuđeni bi lijek među studentima ne-medicinskih područja definitivno prihvatilo 9,6% studenata, vjerojatno bi ga prihvatilo 25,8%, vjerojatno ga ne bi prihvatilo 40,5%, a 24,2% ga definitivno ne bi prihvatilo (Grafički prikaz 5.). Pronađene su statistički značajne razlike i prema području studija (ꭓ</w:t>
      </w:r>
      <w:r w:rsidRPr="006D15B2">
        <w:rPr>
          <w:rFonts w:ascii="Arial" w:eastAsia="Arial" w:hAnsi="Arial" w:cs="Arial"/>
          <w:sz w:val="20"/>
          <w:vertAlign w:val="superscript"/>
        </w:rPr>
        <w:t>2</w:t>
      </w:r>
      <w:r w:rsidRPr="006D15B2">
        <w:rPr>
          <w:rFonts w:ascii="Arial" w:eastAsia="Arial" w:hAnsi="Arial" w:cs="Arial"/>
          <w:sz w:val="20"/>
        </w:rPr>
        <w:t xml:space="preserve">= 18,696; df = 6; P = 0,005; V = 0,081), a usporedba odgovora ispitanika na ovo pitanje po </w:t>
      </w:r>
      <w:r w:rsidRPr="006D15B2">
        <w:rPr>
          <w:rFonts w:ascii="Arial" w:eastAsia="Arial" w:hAnsi="Arial" w:cs="Arial"/>
          <w:sz w:val="20"/>
        </w:rPr>
        <w:lastRenderedPageBreak/>
        <w:t>području studija prikazana je u Tablici 10. Statistički značajna razlika između gradova u kojima studenti studiraju nije pronađena (ꭓ</w:t>
      </w:r>
      <w:r w:rsidRPr="006D15B2">
        <w:rPr>
          <w:rFonts w:ascii="Arial" w:eastAsia="Arial" w:hAnsi="Arial" w:cs="Arial"/>
          <w:sz w:val="20"/>
          <w:vertAlign w:val="superscript"/>
        </w:rPr>
        <w:t>2</w:t>
      </w:r>
      <w:r w:rsidRPr="006D15B2">
        <w:rPr>
          <w:rFonts w:ascii="Arial" w:eastAsia="Arial" w:hAnsi="Arial" w:cs="Arial"/>
          <w:sz w:val="20"/>
        </w:rPr>
        <w:t>= 9,813; df  =6; P = 0,133).</w:t>
      </w:r>
    </w:p>
    <w:p w14:paraId="7C988D00" w14:textId="77777777" w:rsidR="00076856" w:rsidRDefault="00076856" w:rsidP="00756C58">
      <w:pPr>
        <w:spacing w:before="240" w:after="240" w:line="360" w:lineRule="auto"/>
        <w:rPr>
          <w:rFonts w:ascii="Arial" w:eastAsia="Arial" w:hAnsi="Arial" w:cs="Arial"/>
          <w:b/>
        </w:rPr>
      </w:pPr>
    </w:p>
    <w:p w14:paraId="0581DCA3" w14:textId="1919ED59" w:rsidR="00076856" w:rsidRPr="006D15B2" w:rsidRDefault="00DE4299" w:rsidP="006D15B2">
      <w:pPr>
        <w:spacing w:line="360" w:lineRule="auto"/>
        <w:rPr>
          <w:rFonts w:ascii="Arial" w:eastAsia="Arial" w:hAnsi="Arial" w:cs="Arial"/>
          <w:b/>
        </w:rPr>
      </w:pPr>
      <w:r w:rsidRPr="006D15B2">
        <w:rPr>
          <w:rFonts w:ascii="Arial" w:eastAsia="Arial" w:hAnsi="Arial" w:cs="Arial"/>
          <w:b/>
          <w:sz w:val="20"/>
        </w:rPr>
        <w:t>Tablica 10.</w:t>
      </w:r>
      <w:r w:rsidRPr="006D15B2">
        <w:rPr>
          <w:rFonts w:ascii="Arial" w:eastAsia="Arial" w:hAnsi="Arial" w:cs="Arial"/>
          <w:b/>
          <w:sz w:val="20"/>
        </w:rPr>
        <w:tab/>
      </w:r>
      <w:r w:rsidRPr="006D15B2">
        <w:rPr>
          <w:rFonts w:ascii="Arial" w:eastAsia="Arial" w:hAnsi="Arial" w:cs="Arial"/>
          <w:sz w:val="20"/>
        </w:rPr>
        <w:t>Usporedba odgovora o prihvaćanju lijeka za pomoć pri prestanku pušenja s obzirom na područje studija.</w:t>
      </w:r>
    </w:p>
    <w:tbl>
      <w:tblPr>
        <w:tblStyle w:val="afc"/>
        <w:tblW w:w="9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7"/>
        <w:gridCol w:w="1527"/>
        <w:gridCol w:w="1221"/>
        <w:gridCol w:w="1221"/>
        <w:gridCol w:w="1224"/>
        <w:gridCol w:w="1221"/>
      </w:tblGrid>
      <w:tr w:rsidR="00076856" w:rsidRPr="00A54222" w14:paraId="50B762A2" w14:textId="77777777" w:rsidTr="006D15B2">
        <w:trPr>
          <w:trHeight w:val="236"/>
        </w:trPr>
        <w:tc>
          <w:tcPr>
            <w:tcW w:w="4414" w:type="dxa"/>
            <w:gridSpan w:val="2"/>
            <w:vMerge w:val="restart"/>
            <w:tcBorders>
              <w:top w:val="single" w:sz="12" w:space="0" w:color="000000"/>
              <w:left w:val="single" w:sz="12" w:space="0" w:color="000000"/>
              <w:right w:val="single" w:sz="4" w:space="0" w:color="000000"/>
            </w:tcBorders>
            <w:shd w:val="clear" w:color="auto" w:fill="D9D9D9"/>
            <w:vAlign w:val="center"/>
          </w:tcPr>
          <w:p w14:paraId="61FA069F" w14:textId="77777777" w:rsidR="00076856" w:rsidRPr="00A54222" w:rsidRDefault="00DE4299" w:rsidP="00756C58">
            <w:pPr>
              <w:spacing w:line="360" w:lineRule="auto"/>
              <w:rPr>
                <w:rFonts w:ascii="Arial" w:eastAsia="Arial" w:hAnsi="Arial" w:cs="Arial"/>
                <w:sz w:val="20"/>
                <w:szCs w:val="20"/>
              </w:rPr>
            </w:pPr>
            <w:r w:rsidRPr="00A54222">
              <w:rPr>
                <w:rFonts w:ascii="Arial" w:eastAsia="Arial" w:hAnsi="Arial" w:cs="Arial"/>
                <w:sz w:val="20"/>
                <w:szCs w:val="20"/>
              </w:rPr>
              <w:t>Ukoliko bi Vam ponudili lijek za pomoć pri prestanku pušenja biste li ga prihvatili?</w:t>
            </w:r>
          </w:p>
        </w:tc>
        <w:tc>
          <w:tcPr>
            <w:tcW w:w="3666" w:type="dxa"/>
            <w:gridSpan w:val="3"/>
            <w:tcBorders>
              <w:top w:val="single" w:sz="12" w:space="0" w:color="000000"/>
              <w:left w:val="single" w:sz="4" w:space="0" w:color="000000"/>
              <w:bottom w:val="single" w:sz="4" w:space="0" w:color="000000"/>
              <w:right w:val="single" w:sz="12" w:space="0" w:color="000000"/>
            </w:tcBorders>
            <w:shd w:val="clear" w:color="auto" w:fill="D9D9D9"/>
            <w:vAlign w:val="center"/>
          </w:tcPr>
          <w:p w14:paraId="4FDCDE73" w14:textId="77777777" w:rsidR="00076856" w:rsidRPr="00A54222" w:rsidRDefault="00DE4299" w:rsidP="00756C58">
            <w:pPr>
              <w:spacing w:line="360" w:lineRule="auto"/>
              <w:jc w:val="center"/>
              <w:rPr>
                <w:rFonts w:ascii="Arial" w:eastAsia="Arial" w:hAnsi="Arial" w:cs="Arial"/>
                <w:sz w:val="20"/>
                <w:szCs w:val="20"/>
              </w:rPr>
            </w:pPr>
            <w:r w:rsidRPr="00A54222">
              <w:rPr>
                <w:rFonts w:ascii="Arial" w:eastAsia="Arial" w:hAnsi="Arial" w:cs="Arial"/>
                <w:sz w:val="20"/>
                <w:szCs w:val="20"/>
              </w:rPr>
              <w:t>Područje studija</w:t>
            </w:r>
          </w:p>
        </w:tc>
        <w:tc>
          <w:tcPr>
            <w:tcW w:w="1221" w:type="dxa"/>
            <w:vMerge w:val="restart"/>
            <w:tcBorders>
              <w:top w:val="single" w:sz="12" w:space="0" w:color="000000"/>
              <w:right w:val="single" w:sz="12" w:space="0" w:color="000000"/>
            </w:tcBorders>
            <w:shd w:val="clear" w:color="auto" w:fill="D9D9D9"/>
            <w:vAlign w:val="center"/>
          </w:tcPr>
          <w:p w14:paraId="674EAFB3" w14:textId="77777777" w:rsidR="00076856" w:rsidRPr="00A54222" w:rsidRDefault="00DE4299" w:rsidP="00756C58">
            <w:pPr>
              <w:spacing w:line="360" w:lineRule="auto"/>
              <w:rPr>
                <w:rFonts w:ascii="Arial" w:eastAsia="Arial" w:hAnsi="Arial" w:cs="Arial"/>
                <w:sz w:val="20"/>
                <w:szCs w:val="20"/>
              </w:rPr>
            </w:pPr>
            <w:r w:rsidRPr="00A54222">
              <w:rPr>
                <w:rFonts w:ascii="Arial" w:eastAsia="Arial" w:hAnsi="Arial" w:cs="Arial"/>
                <w:sz w:val="20"/>
                <w:szCs w:val="20"/>
              </w:rPr>
              <w:t>Ukupno</w:t>
            </w:r>
          </w:p>
        </w:tc>
      </w:tr>
      <w:tr w:rsidR="00076856" w:rsidRPr="00A54222" w14:paraId="1D8EECBF" w14:textId="77777777" w:rsidTr="006D15B2">
        <w:trPr>
          <w:trHeight w:val="405"/>
        </w:trPr>
        <w:tc>
          <w:tcPr>
            <w:tcW w:w="4414" w:type="dxa"/>
            <w:gridSpan w:val="2"/>
            <w:vMerge/>
            <w:tcBorders>
              <w:top w:val="single" w:sz="12" w:space="0" w:color="000000"/>
              <w:left w:val="single" w:sz="12" w:space="0" w:color="000000"/>
              <w:right w:val="single" w:sz="4" w:space="0" w:color="000000"/>
            </w:tcBorders>
            <w:shd w:val="clear" w:color="auto" w:fill="D9D9D9"/>
            <w:vAlign w:val="center"/>
          </w:tcPr>
          <w:p w14:paraId="264FBD51" w14:textId="77777777" w:rsidR="00076856" w:rsidRPr="00A54222" w:rsidRDefault="00076856" w:rsidP="00756C58">
            <w:pPr>
              <w:widowControl w:val="0"/>
              <w:pBdr>
                <w:top w:val="nil"/>
                <w:left w:val="nil"/>
                <w:bottom w:val="nil"/>
                <w:right w:val="nil"/>
                <w:between w:val="nil"/>
              </w:pBdr>
              <w:spacing w:line="360" w:lineRule="auto"/>
              <w:rPr>
                <w:rFonts w:ascii="Arial" w:eastAsia="Arial" w:hAnsi="Arial" w:cs="Arial"/>
                <w:sz w:val="20"/>
                <w:szCs w:val="20"/>
              </w:rPr>
            </w:pPr>
          </w:p>
        </w:tc>
        <w:tc>
          <w:tcPr>
            <w:tcW w:w="1221" w:type="dxa"/>
            <w:tcBorders>
              <w:top w:val="single" w:sz="4" w:space="0" w:color="000000"/>
              <w:left w:val="single" w:sz="4" w:space="0" w:color="000000"/>
              <w:bottom w:val="single" w:sz="12" w:space="0" w:color="000000"/>
            </w:tcBorders>
            <w:shd w:val="clear" w:color="auto" w:fill="D9D9D9"/>
            <w:vAlign w:val="center"/>
          </w:tcPr>
          <w:p w14:paraId="5C1E8572" w14:textId="77777777" w:rsidR="00076856" w:rsidRPr="00A54222" w:rsidRDefault="00DE4299" w:rsidP="00756C58">
            <w:pPr>
              <w:spacing w:line="360" w:lineRule="auto"/>
              <w:ind w:left="113" w:right="113"/>
              <w:rPr>
                <w:rFonts w:ascii="Arial" w:eastAsia="Arial" w:hAnsi="Arial" w:cs="Arial"/>
                <w:sz w:val="20"/>
                <w:szCs w:val="20"/>
              </w:rPr>
            </w:pPr>
            <w:r w:rsidRPr="00A54222">
              <w:rPr>
                <w:rFonts w:ascii="Arial" w:eastAsia="Arial" w:hAnsi="Arial" w:cs="Arial"/>
                <w:sz w:val="20"/>
                <w:szCs w:val="20"/>
              </w:rPr>
              <w:t xml:space="preserve">Biomedicinsko </w:t>
            </w:r>
          </w:p>
        </w:tc>
        <w:tc>
          <w:tcPr>
            <w:tcW w:w="1221" w:type="dxa"/>
            <w:tcBorders>
              <w:top w:val="single" w:sz="4" w:space="0" w:color="000000"/>
              <w:bottom w:val="single" w:sz="12" w:space="0" w:color="000000"/>
              <w:right w:val="single" w:sz="4" w:space="0" w:color="000000"/>
            </w:tcBorders>
            <w:shd w:val="clear" w:color="auto" w:fill="D9D9D9"/>
            <w:vAlign w:val="center"/>
          </w:tcPr>
          <w:p w14:paraId="19F24906" w14:textId="77777777" w:rsidR="00076856" w:rsidRPr="00A54222" w:rsidRDefault="00DE4299" w:rsidP="00756C58">
            <w:pPr>
              <w:spacing w:line="360" w:lineRule="auto"/>
              <w:ind w:left="113" w:right="113"/>
              <w:rPr>
                <w:rFonts w:ascii="Arial" w:eastAsia="Arial" w:hAnsi="Arial" w:cs="Arial"/>
                <w:sz w:val="20"/>
                <w:szCs w:val="20"/>
              </w:rPr>
            </w:pPr>
            <w:r w:rsidRPr="00A54222">
              <w:rPr>
                <w:rFonts w:ascii="Arial" w:eastAsia="Arial" w:hAnsi="Arial" w:cs="Arial"/>
                <w:sz w:val="20"/>
                <w:szCs w:val="20"/>
              </w:rPr>
              <w:t>Umjetničko</w:t>
            </w:r>
          </w:p>
        </w:tc>
        <w:tc>
          <w:tcPr>
            <w:tcW w:w="1222" w:type="dxa"/>
            <w:tcBorders>
              <w:top w:val="single" w:sz="4" w:space="0" w:color="000000"/>
              <w:left w:val="single" w:sz="4" w:space="0" w:color="000000"/>
              <w:bottom w:val="single" w:sz="12" w:space="0" w:color="000000"/>
              <w:right w:val="single" w:sz="12" w:space="0" w:color="000000"/>
            </w:tcBorders>
            <w:shd w:val="clear" w:color="auto" w:fill="D9D9D9"/>
            <w:vAlign w:val="center"/>
          </w:tcPr>
          <w:p w14:paraId="7EE82027" w14:textId="77777777" w:rsidR="00076856" w:rsidRPr="00A54222" w:rsidRDefault="00DE4299" w:rsidP="00756C58">
            <w:pPr>
              <w:spacing w:line="360" w:lineRule="auto"/>
              <w:ind w:left="113" w:right="113"/>
              <w:rPr>
                <w:rFonts w:ascii="Arial" w:eastAsia="Arial" w:hAnsi="Arial" w:cs="Arial"/>
                <w:sz w:val="20"/>
                <w:szCs w:val="20"/>
              </w:rPr>
            </w:pPr>
            <w:r w:rsidRPr="00A54222">
              <w:rPr>
                <w:rFonts w:ascii="Arial" w:eastAsia="Arial" w:hAnsi="Arial" w:cs="Arial"/>
                <w:sz w:val="20"/>
                <w:szCs w:val="20"/>
              </w:rPr>
              <w:t>Društveno-humanističko</w:t>
            </w:r>
          </w:p>
        </w:tc>
        <w:tc>
          <w:tcPr>
            <w:tcW w:w="1221" w:type="dxa"/>
            <w:vMerge/>
            <w:tcBorders>
              <w:top w:val="single" w:sz="12" w:space="0" w:color="000000"/>
              <w:right w:val="single" w:sz="12" w:space="0" w:color="000000"/>
            </w:tcBorders>
            <w:shd w:val="clear" w:color="auto" w:fill="D9D9D9"/>
            <w:vAlign w:val="center"/>
          </w:tcPr>
          <w:p w14:paraId="2A26621E" w14:textId="77777777" w:rsidR="00076856" w:rsidRPr="00A54222" w:rsidRDefault="00076856" w:rsidP="00756C58">
            <w:pPr>
              <w:widowControl w:val="0"/>
              <w:pBdr>
                <w:top w:val="nil"/>
                <w:left w:val="nil"/>
                <w:bottom w:val="nil"/>
                <w:right w:val="nil"/>
                <w:between w:val="nil"/>
              </w:pBdr>
              <w:spacing w:line="360" w:lineRule="auto"/>
              <w:rPr>
                <w:rFonts w:ascii="Arial" w:eastAsia="Arial" w:hAnsi="Arial" w:cs="Arial"/>
                <w:sz w:val="20"/>
                <w:szCs w:val="20"/>
              </w:rPr>
            </w:pPr>
          </w:p>
        </w:tc>
      </w:tr>
      <w:tr w:rsidR="00076856" w:rsidRPr="00A54222" w14:paraId="0072C9F5" w14:textId="77777777" w:rsidTr="006D15B2">
        <w:trPr>
          <w:trHeight w:val="135"/>
        </w:trPr>
        <w:tc>
          <w:tcPr>
            <w:tcW w:w="2887" w:type="dxa"/>
            <w:vMerge w:val="restart"/>
            <w:tcBorders>
              <w:top w:val="single" w:sz="12" w:space="0" w:color="000000"/>
              <w:left w:val="single" w:sz="12" w:space="0" w:color="000000"/>
              <w:right w:val="single" w:sz="4" w:space="0" w:color="000000"/>
            </w:tcBorders>
            <w:vAlign w:val="center"/>
          </w:tcPr>
          <w:p w14:paraId="0F1D18AE" w14:textId="77777777" w:rsidR="00076856" w:rsidRPr="00A54222" w:rsidRDefault="00DE4299" w:rsidP="00756C58">
            <w:pPr>
              <w:spacing w:line="360" w:lineRule="auto"/>
              <w:rPr>
                <w:rFonts w:ascii="Arial" w:eastAsia="Arial" w:hAnsi="Arial" w:cs="Arial"/>
                <w:sz w:val="20"/>
                <w:szCs w:val="20"/>
              </w:rPr>
            </w:pPr>
            <w:r w:rsidRPr="00A54222">
              <w:rPr>
                <w:rFonts w:ascii="Arial" w:eastAsia="Arial" w:hAnsi="Arial" w:cs="Arial"/>
                <w:sz w:val="20"/>
                <w:szCs w:val="20"/>
              </w:rPr>
              <w:t>Definitivno da</w:t>
            </w:r>
          </w:p>
        </w:tc>
        <w:tc>
          <w:tcPr>
            <w:tcW w:w="1527" w:type="dxa"/>
            <w:tcBorders>
              <w:top w:val="single" w:sz="12" w:space="0" w:color="000000"/>
              <w:left w:val="single" w:sz="4" w:space="0" w:color="000000"/>
              <w:right w:val="single" w:sz="4" w:space="0" w:color="000000"/>
            </w:tcBorders>
            <w:vAlign w:val="center"/>
          </w:tcPr>
          <w:p w14:paraId="6A489503" w14:textId="77777777" w:rsidR="00076856" w:rsidRPr="00A54222" w:rsidRDefault="00DE4299" w:rsidP="00756C58">
            <w:pPr>
              <w:spacing w:line="360" w:lineRule="auto"/>
              <w:rPr>
                <w:rFonts w:ascii="Arial" w:eastAsia="Arial" w:hAnsi="Arial" w:cs="Arial"/>
                <w:sz w:val="20"/>
                <w:szCs w:val="20"/>
              </w:rPr>
            </w:pPr>
            <w:r w:rsidRPr="00A54222">
              <w:rPr>
                <w:rFonts w:ascii="Arial" w:eastAsia="Arial" w:hAnsi="Arial" w:cs="Arial"/>
                <w:sz w:val="20"/>
                <w:szCs w:val="20"/>
              </w:rPr>
              <w:t>Broj (N)</w:t>
            </w:r>
          </w:p>
        </w:tc>
        <w:tc>
          <w:tcPr>
            <w:tcW w:w="1221" w:type="dxa"/>
            <w:tcBorders>
              <w:top w:val="single" w:sz="12" w:space="0" w:color="000000"/>
              <w:left w:val="single" w:sz="4" w:space="0" w:color="000000"/>
              <w:right w:val="single" w:sz="4" w:space="0" w:color="000000"/>
            </w:tcBorders>
            <w:vAlign w:val="center"/>
          </w:tcPr>
          <w:p w14:paraId="7D899111" w14:textId="77777777" w:rsidR="00076856" w:rsidRPr="00A54222" w:rsidRDefault="00DE4299" w:rsidP="00756C58">
            <w:pPr>
              <w:spacing w:line="360" w:lineRule="auto"/>
              <w:jc w:val="right"/>
              <w:rPr>
                <w:rFonts w:ascii="Arial" w:eastAsia="Arial" w:hAnsi="Arial" w:cs="Arial"/>
                <w:sz w:val="20"/>
                <w:szCs w:val="20"/>
              </w:rPr>
            </w:pPr>
            <w:r w:rsidRPr="00A54222">
              <w:rPr>
                <w:rFonts w:ascii="Arial" w:eastAsia="Arial" w:hAnsi="Arial" w:cs="Arial"/>
                <w:sz w:val="20"/>
                <w:szCs w:val="20"/>
              </w:rPr>
              <w:t>61</w:t>
            </w:r>
          </w:p>
        </w:tc>
        <w:tc>
          <w:tcPr>
            <w:tcW w:w="1221" w:type="dxa"/>
            <w:tcBorders>
              <w:top w:val="single" w:sz="12" w:space="0" w:color="000000"/>
              <w:left w:val="single" w:sz="4" w:space="0" w:color="000000"/>
              <w:right w:val="single" w:sz="4" w:space="0" w:color="000000"/>
            </w:tcBorders>
            <w:vAlign w:val="center"/>
          </w:tcPr>
          <w:p w14:paraId="218F387B" w14:textId="77777777" w:rsidR="00076856" w:rsidRPr="00A54222" w:rsidRDefault="00DE4299" w:rsidP="00756C58">
            <w:pPr>
              <w:spacing w:line="360" w:lineRule="auto"/>
              <w:jc w:val="right"/>
              <w:rPr>
                <w:rFonts w:ascii="Arial" w:eastAsia="Arial" w:hAnsi="Arial" w:cs="Arial"/>
                <w:sz w:val="20"/>
                <w:szCs w:val="20"/>
              </w:rPr>
            </w:pPr>
            <w:r w:rsidRPr="00A54222">
              <w:rPr>
                <w:rFonts w:ascii="Arial" w:eastAsia="Arial" w:hAnsi="Arial" w:cs="Arial"/>
                <w:sz w:val="20"/>
                <w:szCs w:val="20"/>
              </w:rPr>
              <w:t>14</w:t>
            </w:r>
          </w:p>
        </w:tc>
        <w:tc>
          <w:tcPr>
            <w:tcW w:w="1222" w:type="dxa"/>
            <w:tcBorders>
              <w:top w:val="single" w:sz="12" w:space="0" w:color="000000"/>
              <w:left w:val="single" w:sz="4" w:space="0" w:color="000000"/>
              <w:right w:val="single" w:sz="12" w:space="0" w:color="000000"/>
            </w:tcBorders>
            <w:vAlign w:val="center"/>
          </w:tcPr>
          <w:p w14:paraId="0E76918A" w14:textId="77777777" w:rsidR="00076856" w:rsidRPr="00A54222" w:rsidRDefault="00DE4299" w:rsidP="00756C58">
            <w:pPr>
              <w:spacing w:line="360" w:lineRule="auto"/>
              <w:jc w:val="right"/>
              <w:rPr>
                <w:rFonts w:ascii="Arial" w:eastAsia="Arial" w:hAnsi="Arial" w:cs="Arial"/>
                <w:sz w:val="20"/>
                <w:szCs w:val="20"/>
              </w:rPr>
            </w:pPr>
            <w:r w:rsidRPr="00A54222">
              <w:rPr>
                <w:rFonts w:ascii="Arial" w:eastAsia="Arial" w:hAnsi="Arial" w:cs="Arial"/>
                <w:sz w:val="20"/>
                <w:szCs w:val="20"/>
              </w:rPr>
              <w:t>80</w:t>
            </w:r>
          </w:p>
        </w:tc>
        <w:tc>
          <w:tcPr>
            <w:tcW w:w="1221" w:type="dxa"/>
            <w:tcBorders>
              <w:top w:val="single" w:sz="12" w:space="0" w:color="000000"/>
              <w:left w:val="single" w:sz="12" w:space="0" w:color="000000"/>
              <w:right w:val="single" w:sz="12" w:space="0" w:color="000000"/>
            </w:tcBorders>
            <w:vAlign w:val="center"/>
          </w:tcPr>
          <w:p w14:paraId="75BA2037" w14:textId="77777777" w:rsidR="00076856" w:rsidRPr="00A54222" w:rsidRDefault="00DE4299" w:rsidP="00756C58">
            <w:pPr>
              <w:spacing w:line="360" w:lineRule="auto"/>
              <w:jc w:val="right"/>
              <w:rPr>
                <w:rFonts w:ascii="Arial" w:eastAsia="Arial" w:hAnsi="Arial" w:cs="Arial"/>
                <w:sz w:val="20"/>
                <w:szCs w:val="20"/>
              </w:rPr>
            </w:pPr>
            <w:r w:rsidRPr="00A54222">
              <w:rPr>
                <w:rFonts w:ascii="Arial" w:eastAsia="Arial" w:hAnsi="Arial" w:cs="Arial"/>
                <w:sz w:val="20"/>
                <w:szCs w:val="20"/>
              </w:rPr>
              <w:t>155</w:t>
            </w:r>
          </w:p>
        </w:tc>
      </w:tr>
      <w:tr w:rsidR="00076856" w:rsidRPr="00A54222" w14:paraId="3B1A15A3" w14:textId="77777777" w:rsidTr="006D15B2">
        <w:trPr>
          <w:trHeight w:val="135"/>
        </w:trPr>
        <w:tc>
          <w:tcPr>
            <w:tcW w:w="2887" w:type="dxa"/>
            <w:vMerge/>
            <w:tcBorders>
              <w:top w:val="single" w:sz="12" w:space="0" w:color="000000"/>
              <w:left w:val="single" w:sz="12" w:space="0" w:color="000000"/>
              <w:right w:val="single" w:sz="4" w:space="0" w:color="000000"/>
            </w:tcBorders>
            <w:vAlign w:val="center"/>
          </w:tcPr>
          <w:p w14:paraId="4EBA65BD" w14:textId="77777777" w:rsidR="00076856" w:rsidRPr="00A54222" w:rsidRDefault="00076856" w:rsidP="00756C58">
            <w:pPr>
              <w:widowControl w:val="0"/>
              <w:pBdr>
                <w:top w:val="nil"/>
                <w:left w:val="nil"/>
                <w:bottom w:val="nil"/>
                <w:right w:val="nil"/>
                <w:between w:val="nil"/>
              </w:pBdr>
              <w:spacing w:line="360" w:lineRule="auto"/>
              <w:rPr>
                <w:rFonts w:ascii="Arial" w:eastAsia="Arial" w:hAnsi="Arial" w:cs="Arial"/>
                <w:sz w:val="20"/>
                <w:szCs w:val="20"/>
              </w:rPr>
            </w:pPr>
          </w:p>
        </w:tc>
        <w:tc>
          <w:tcPr>
            <w:tcW w:w="1527" w:type="dxa"/>
            <w:tcBorders>
              <w:top w:val="single" w:sz="4" w:space="0" w:color="000000"/>
              <w:left w:val="single" w:sz="4" w:space="0" w:color="000000"/>
              <w:right w:val="single" w:sz="4" w:space="0" w:color="000000"/>
            </w:tcBorders>
            <w:vAlign w:val="center"/>
          </w:tcPr>
          <w:p w14:paraId="5FDDE42B" w14:textId="77777777" w:rsidR="00076856" w:rsidRPr="00A54222" w:rsidRDefault="00DE4299" w:rsidP="00756C58">
            <w:pPr>
              <w:spacing w:line="360" w:lineRule="auto"/>
              <w:rPr>
                <w:rFonts w:ascii="Arial" w:eastAsia="Arial" w:hAnsi="Arial" w:cs="Arial"/>
                <w:sz w:val="20"/>
                <w:szCs w:val="20"/>
              </w:rPr>
            </w:pPr>
            <w:r w:rsidRPr="00A54222">
              <w:rPr>
                <w:rFonts w:ascii="Arial" w:eastAsia="Arial" w:hAnsi="Arial" w:cs="Arial"/>
                <w:sz w:val="20"/>
                <w:szCs w:val="20"/>
              </w:rPr>
              <w:t>% unutar područja</w:t>
            </w:r>
          </w:p>
        </w:tc>
        <w:tc>
          <w:tcPr>
            <w:tcW w:w="1221" w:type="dxa"/>
            <w:tcBorders>
              <w:left w:val="single" w:sz="4" w:space="0" w:color="000000"/>
              <w:right w:val="single" w:sz="4" w:space="0" w:color="000000"/>
            </w:tcBorders>
            <w:vAlign w:val="center"/>
          </w:tcPr>
          <w:p w14:paraId="5E872920" w14:textId="77777777" w:rsidR="00076856" w:rsidRPr="00A54222" w:rsidRDefault="00DE4299" w:rsidP="00756C58">
            <w:pPr>
              <w:spacing w:line="360" w:lineRule="auto"/>
              <w:jc w:val="right"/>
              <w:rPr>
                <w:rFonts w:ascii="Arial" w:eastAsia="Arial" w:hAnsi="Arial" w:cs="Arial"/>
                <w:sz w:val="20"/>
                <w:szCs w:val="20"/>
              </w:rPr>
            </w:pPr>
            <w:r w:rsidRPr="00A54222">
              <w:rPr>
                <w:rFonts w:ascii="Arial" w:eastAsia="Arial" w:hAnsi="Arial" w:cs="Arial"/>
                <w:sz w:val="20"/>
                <w:szCs w:val="20"/>
              </w:rPr>
              <w:t>13,8%</w:t>
            </w:r>
          </w:p>
        </w:tc>
        <w:tc>
          <w:tcPr>
            <w:tcW w:w="1221" w:type="dxa"/>
            <w:tcBorders>
              <w:left w:val="single" w:sz="4" w:space="0" w:color="000000"/>
              <w:right w:val="single" w:sz="4" w:space="0" w:color="000000"/>
            </w:tcBorders>
            <w:vAlign w:val="center"/>
          </w:tcPr>
          <w:p w14:paraId="024192DC" w14:textId="77777777" w:rsidR="00076856" w:rsidRPr="00A54222" w:rsidRDefault="00DE4299" w:rsidP="00756C58">
            <w:pPr>
              <w:spacing w:line="360" w:lineRule="auto"/>
              <w:jc w:val="right"/>
              <w:rPr>
                <w:rFonts w:ascii="Arial" w:eastAsia="Arial" w:hAnsi="Arial" w:cs="Arial"/>
                <w:sz w:val="20"/>
                <w:szCs w:val="20"/>
              </w:rPr>
            </w:pPr>
            <w:r w:rsidRPr="00A54222">
              <w:rPr>
                <w:rFonts w:ascii="Arial" w:eastAsia="Arial" w:hAnsi="Arial" w:cs="Arial"/>
                <w:sz w:val="20"/>
                <w:szCs w:val="20"/>
              </w:rPr>
              <w:t>12,8%</w:t>
            </w:r>
          </w:p>
        </w:tc>
        <w:tc>
          <w:tcPr>
            <w:tcW w:w="1222" w:type="dxa"/>
            <w:tcBorders>
              <w:left w:val="single" w:sz="4" w:space="0" w:color="000000"/>
              <w:right w:val="single" w:sz="12" w:space="0" w:color="000000"/>
            </w:tcBorders>
            <w:vAlign w:val="center"/>
          </w:tcPr>
          <w:p w14:paraId="28ABBA6B" w14:textId="77777777" w:rsidR="00076856" w:rsidRPr="00A54222" w:rsidRDefault="00DE4299" w:rsidP="00756C58">
            <w:pPr>
              <w:spacing w:line="360" w:lineRule="auto"/>
              <w:jc w:val="right"/>
              <w:rPr>
                <w:rFonts w:ascii="Arial" w:eastAsia="Arial" w:hAnsi="Arial" w:cs="Arial"/>
                <w:sz w:val="20"/>
                <w:szCs w:val="20"/>
              </w:rPr>
            </w:pPr>
            <w:r w:rsidRPr="00A54222">
              <w:rPr>
                <w:rFonts w:ascii="Arial" w:eastAsia="Arial" w:hAnsi="Arial" w:cs="Arial"/>
                <w:sz w:val="20"/>
                <w:szCs w:val="20"/>
              </w:rPr>
              <w:t>9,2%</w:t>
            </w:r>
          </w:p>
        </w:tc>
        <w:tc>
          <w:tcPr>
            <w:tcW w:w="1221" w:type="dxa"/>
            <w:tcBorders>
              <w:left w:val="single" w:sz="12" w:space="0" w:color="000000"/>
              <w:right w:val="single" w:sz="12" w:space="0" w:color="000000"/>
            </w:tcBorders>
            <w:vAlign w:val="center"/>
          </w:tcPr>
          <w:p w14:paraId="5F1B7310" w14:textId="77777777" w:rsidR="00076856" w:rsidRPr="00A54222" w:rsidRDefault="00DE4299" w:rsidP="00756C58">
            <w:pPr>
              <w:spacing w:line="360" w:lineRule="auto"/>
              <w:jc w:val="right"/>
              <w:rPr>
                <w:rFonts w:ascii="Arial" w:eastAsia="Arial" w:hAnsi="Arial" w:cs="Arial"/>
                <w:sz w:val="20"/>
                <w:szCs w:val="20"/>
              </w:rPr>
            </w:pPr>
            <w:r w:rsidRPr="00A54222">
              <w:rPr>
                <w:rFonts w:ascii="Arial" w:eastAsia="Arial" w:hAnsi="Arial" w:cs="Arial"/>
                <w:sz w:val="20"/>
                <w:szCs w:val="20"/>
              </w:rPr>
              <w:t>10,9%</w:t>
            </w:r>
          </w:p>
        </w:tc>
      </w:tr>
      <w:tr w:rsidR="00076856" w:rsidRPr="00A54222" w14:paraId="78803217" w14:textId="77777777" w:rsidTr="006D15B2">
        <w:trPr>
          <w:trHeight w:val="135"/>
        </w:trPr>
        <w:tc>
          <w:tcPr>
            <w:tcW w:w="2887" w:type="dxa"/>
            <w:vMerge w:val="restart"/>
            <w:tcBorders>
              <w:left w:val="single" w:sz="12" w:space="0" w:color="000000"/>
              <w:right w:val="single" w:sz="4" w:space="0" w:color="000000"/>
            </w:tcBorders>
            <w:vAlign w:val="center"/>
          </w:tcPr>
          <w:p w14:paraId="72BCEC79" w14:textId="77777777" w:rsidR="00076856" w:rsidRPr="00A54222" w:rsidRDefault="00DE4299" w:rsidP="00756C58">
            <w:pPr>
              <w:spacing w:line="360" w:lineRule="auto"/>
              <w:rPr>
                <w:rFonts w:ascii="Arial" w:eastAsia="Arial" w:hAnsi="Arial" w:cs="Arial"/>
                <w:sz w:val="20"/>
                <w:szCs w:val="20"/>
              </w:rPr>
            </w:pPr>
            <w:r w:rsidRPr="00A54222">
              <w:rPr>
                <w:rFonts w:ascii="Arial" w:eastAsia="Arial" w:hAnsi="Arial" w:cs="Arial"/>
                <w:sz w:val="20"/>
                <w:szCs w:val="20"/>
              </w:rPr>
              <w:t>Vjerojatno da</w:t>
            </w:r>
          </w:p>
        </w:tc>
        <w:tc>
          <w:tcPr>
            <w:tcW w:w="1527" w:type="dxa"/>
            <w:tcBorders>
              <w:left w:val="single" w:sz="4" w:space="0" w:color="000000"/>
              <w:right w:val="single" w:sz="4" w:space="0" w:color="000000"/>
            </w:tcBorders>
            <w:vAlign w:val="center"/>
          </w:tcPr>
          <w:p w14:paraId="54C8CB20" w14:textId="77777777" w:rsidR="00076856" w:rsidRPr="00A54222" w:rsidRDefault="00DE4299" w:rsidP="00756C58">
            <w:pPr>
              <w:spacing w:line="360" w:lineRule="auto"/>
              <w:rPr>
                <w:rFonts w:ascii="Arial" w:eastAsia="Arial" w:hAnsi="Arial" w:cs="Arial"/>
                <w:sz w:val="20"/>
                <w:szCs w:val="20"/>
              </w:rPr>
            </w:pPr>
            <w:r w:rsidRPr="00A54222">
              <w:rPr>
                <w:rFonts w:ascii="Arial" w:eastAsia="Arial" w:hAnsi="Arial" w:cs="Arial"/>
                <w:sz w:val="20"/>
                <w:szCs w:val="20"/>
              </w:rPr>
              <w:t>Broj (N)</w:t>
            </w:r>
          </w:p>
        </w:tc>
        <w:tc>
          <w:tcPr>
            <w:tcW w:w="1221" w:type="dxa"/>
            <w:tcBorders>
              <w:left w:val="single" w:sz="4" w:space="0" w:color="000000"/>
              <w:right w:val="single" w:sz="4" w:space="0" w:color="000000"/>
            </w:tcBorders>
            <w:vAlign w:val="center"/>
          </w:tcPr>
          <w:p w14:paraId="36257D7E" w14:textId="77777777" w:rsidR="00076856" w:rsidRPr="00A54222" w:rsidRDefault="00DE4299" w:rsidP="00756C58">
            <w:pPr>
              <w:spacing w:line="360" w:lineRule="auto"/>
              <w:jc w:val="right"/>
              <w:rPr>
                <w:rFonts w:ascii="Arial" w:eastAsia="Arial" w:hAnsi="Arial" w:cs="Arial"/>
                <w:sz w:val="20"/>
                <w:szCs w:val="20"/>
              </w:rPr>
            </w:pPr>
            <w:r w:rsidRPr="00A54222">
              <w:rPr>
                <w:rFonts w:ascii="Arial" w:eastAsia="Arial" w:hAnsi="Arial" w:cs="Arial"/>
                <w:sz w:val="20"/>
                <w:szCs w:val="20"/>
              </w:rPr>
              <w:t>139</w:t>
            </w:r>
          </w:p>
        </w:tc>
        <w:tc>
          <w:tcPr>
            <w:tcW w:w="1221" w:type="dxa"/>
            <w:tcBorders>
              <w:left w:val="single" w:sz="4" w:space="0" w:color="000000"/>
              <w:right w:val="single" w:sz="4" w:space="0" w:color="000000"/>
            </w:tcBorders>
            <w:vAlign w:val="center"/>
          </w:tcPr>
          <w:p w14:paraId="574C0FB5" w14:textId="77777777" w:rsidR="00076856" w:rsidRPr="00A54222" w:rsidRDefault="00DE4299" w:rsidP="00756C58">
            <w:pPr>
              <w:spacing w:line="360" w:lineRule="auto"/>
              <w:jc w:val="right"/>
              <w:rPr>
                <w:rFonts w:ascii="Arial" w:eastAsia="Arial" w:hAnsi="Arial" w:cs="Arial"/>
                <w:sz w:val="20"/>
                <w:szCs w:val="20"/>
              </w:rPr>
            </w:pPr>
            <w:r w:rsidRPr="00A54222">
              <w:rPr>
                <w:rFonts w:ascii="Arial" w:eastAsia="Arial" w:hAnsi="Arial" w:cs="Arial"/>
                <w:sz w:val="20"/>
                <w:szCs w:val="20"/>
              </w:rPr>
              <w:t>22</w:t>
            </w:r>
          </w:p>
        </w:tc>
        <w:tc>
          <w:tcPr>
            <w:tcW w:w="1222" w:type="dxa"/>
            <w:tcBorders>
              <w:left w:val="single" w:sz="4" w:space="0" w:color="000000"/>
              <w:right w:val="single" w:sz="12" w:space="0" w:color="000000"/>
            </w:tcBorders>
            <w:vAlign w:val="center"/>
          </w:tcPr>
          <w:p w14:paraId="1C0370CB" w14:textId="77777777" w:rsidR="00076856" w:rsidRPr="00A54222" w:rsidRDefault="00DE4299" w:rsidP="00756C58">
            <w:pPr>
              <w:spacing w:line="360" w:lineRule="auto"/>
              <w:jc w:val="right"/>
              <w:rPr>
                <w:rFonts w:ascii="Arial" w:eastAsia="Arial" w:hAnsi="Arial" w:cs="Arial"/>
                <w:sz w:val="20"/>
                <w:szCs w:val="20"/>
              </w:rPr>
            </w:pPr>
            <w:r w:rsidRPr="00A54222">
              <w:rPr>
                <w:rFonts w:ascii="Arial" w:eastAsia="Arial" w:hAnsi="Arial" w:cs="Arial"/>
                <w:sz w:val="20"/>
                <w:szCs w:val="20"/>
              </w:rPr>
              <w:t>231</w:t>
            </w:r>
          </w:p>
        </w:tc>
        <w:tc>
          <w:tcPr>
            <w:tcW w:w="1221" w:type="dxa"/>
            <w:tcBorders>
              <w:left w:val="single" w:sz="12" w:space="0" w:color="000000"/>
              <w:right w:val="single" w:sz="12" w:space="0" w:color="000000"/>
            </w:tcBorders>
            <w:vAlign w:val="center"/>
          </w:tcPr>
          <w:p w14:paraId="4B0ACDA6" w14:textId="77777777" w:rsidR="00076856" w:rsidRPr="00A54222" w:rsidRDefault="00DE4299" w:rsidP="00756C58">
            <w:pPr>
              <w:spacing w:line="360" w:lineRule="auto"/>
              <w:jc w:val="right"/>
              <w:rPr>
                <w:rFonts w:ascii="Arial" w:eastAsia="Arial" w:hAnsi="Arial" w:cs="Arial"/>
                <w:sz w:val="20"/>
                <w:szCs w:val="20"/>
              </w:rPr>
            </w:pPr>
            <w:r w:rsidRPr="00A54222">
              <w:rPr>
                <w:rFonts w:ascii="Arial" w:eastAsia="Arial" w:hAnsi="Arial" w:cs="Arial"/>
                <w:sz w:val="20"/>
                <w:szCs w:val="20"/>
              </w:rPr>
              <w:t>392</w:t>
            </w:r>
          </w:p>
        </w:tc>
      </w:tr>
      <w:tr w:rsidR="00076856" w:rsidRPr="00A54222" w14:paraId="3779F5ED" w14:textId="77777777" w:rsidTr="006D15B2">
        <w:trPr>
          <w:trHeight w:val="135"/>
        </w:trPr>
        <w:tc>
          <w:tcPr>
            <w:tcW w:w="2887" w:type="dxa"/>
            <w:vMerge/>
            <w:tcBorders>
              <w:left w:val="single" w:sz="12" w:space="0" w:color="000000"/>
              <w:right w:val="single" w:sz="4" w:space="0" w:color="000000"/>
            </w:tcBorders>
            <w:vAlign w:val="center"/>
          </w:tcPr>
          <w:p w14:paraId="690EA5EC" w14:textId="77777777" w:rsidR="00076856" w:rsidRPr="00A54222" w:rsidRDefault="00076856" w:rsidP="00756C58">
            <w:pPr>
              <w:widowControl w:val="0"/>
              <w:pBdr>
                <w:top w:val="nil"/>
                <w:left w:val="nil"/>
                <w:bottom w:val="nil"/>
                <w:right w:val="nil"/>
                <w:between w:val="nil"/>
              </w:pBdr>
              <w:spacing w:line="360" w:lineRule="auto"/>
              <w:rPr>
                <w:rFonts w:ascii="Arial" w:eastAsia="Arial" w:hAnsi="Arial" w:cs="Arial"/>
                <w:sz w:val="20"/>
                <w:szCs w:val="20"/>
              </w:rPr>
            </w:pPr>
          </w:p>
        </w:tc>
        <w:tc>
          <w:tcPr>
            <w:tcW w:w="1527" w:type="dxa"/>
            <w:tcBorders>
              <w:left w:val="single" w:sz="4" w:space="0" w:color="000000"/>
              <w:right w:val="single" w:sz="4" w:space="0" w:color="000000"/>
            </w:tcBorders>
            <w:vAlign w:val="center"/>
          </w:tcPr>
          <w:p w14:paraId="72003B74" w14:textId="77777777" w:rsidR="00076856" w:rsidRPr="00A54222" w:rsidRDefault="00DE4299" w:rsidP="00756C58">
            <w:pPr>
              <w:spacing w:line="360" w:lineRule="auto"/>
              <w:rPr>
                <w:rFonts w:ascii="Arial" w:eastAsia="Arial" w:hAnsi="Arial" w:cs="Arial"/>
                <w:sz w:val="20"/>
                <w:szCs w:val="20"/>
              </w:rPr>
            </w:pPr>
            <w:r w:rsidRPr="00A54222">
              <w:rPr>
                <w:rFonts w:ascii="Arial" w:eastAsia="Arial" w:hAnsi="Arial" w:cs="Arial"/>
                <w:sz w:val="20"/>
                <w:szCs w:val="20"/>
              </w:rPr>
              <w:t>% unutar područja</w:t>
            </w:r>
          </w:p>
        </w:tc>
        <w:tc>
          <w:tcPr>
            <w:tcW w:w="1221" w:type="dxa"/>
            <w:tcBorders>
              <w:left w:val="single" w:sz="4" w:space="0" w:color="000000"/>
              <w:right w:val="single" w:sz="4" w:space="0" w:color="000000"/>
            </w:tcBorders>
            <w:vAlign w:val="center"/>
          </w:tcPr>
          <w:p w14:paraId="0DF5C07D" w14:textId="77777777" w:rsidR="00076856" w:rsidRPr="00A54222" w:rsidRDefault="00DE4299" w:rsidP="00756C58">
            <w:pPr>
              <w:spacing w:line="360" w:lineRule="auto"/>
              <w:jc w:val="right"/>
              <w:rPr>
                <w:rFonts w:ascii="Arial" w:eastAsia="Arial" w:hAnsi="Arial" w:cs="Arial"/>
                <w:sz w:val="20"/>
                <w:szCs w:val="20"/>
              </w:rPr>
            </w:pPr>
            <w:r w:rsidRPr="00A54222">
              <w:rPr>
                <w:rFonts w:ascii="Arial" w:eastAsia="Arial" w:hAnsi="Arial" w:cs="Arial"/>
                <w:sz w:val="20"/>
                <w:szCs w:val="20"/>
              </w:rPr>
              <w:t>31,4%</w:t>
            </w:r>
          </w:p>
        </w:tc>
        <w:tc>
          <w:tcPr>
            <w:tcW w:w="1221" w:type="dxa"/>
            <w:tcBorders>
              <w:left w:val="single" w:sz="4" w:space="0" w:color="000000"/>
              <w:right w:val="single" w:sz="4" w:space="0" w:color="000000"/>
            </w:tcBorders>
            <w:vAlign w:val="center"/>
          </w:tcPr>
          <w:p w14:paraId="27E62BE4" w14:textId="77777777" w:rsidR="00076856" w:rsidRPr="00A54222" w:rsidRDefault="00DE4299" w:rsidP="00756C58">
            <w:pPr>
              <w:spacing w:line="360" w:lineRule="auto"/>
              <w:jc w:val="right"/>
              <w:rPr>
                <w:rFonts w:ascii="Arial" w:eastAsia="Arial" w:hAnsi="Arial" w:cs="Arial"/>
                <w:sz w:val="20"/>
                <w:szCs w:val="20"/>
              </w:rPr>
            </w:pPr>
            <w:r w:rsidRPr="00A54222">
              <w:rPr>
                <w:rFonts w:ascii="Arial" w:eastAsia="Arial" w:hAnsi="Arial" w:cs="Arial"/>
                <w:sz w:val="20"/>
                <w:szCs w:val="20"/>
              </w:rPr>
              <w:t>20,2%</w:t>
            </w:r>
          </w:p>
        </w:tc>
        <w:tc>
          <w:tcPr>
            <w:tcW w:w="1222" w:type="dxa"/>
            <w:tcBorders>
              <w:left w:val="single" w:sz="4" w:space="0" w:color="000000"/>
              <w:right w:val="single" w:sz="12" w:space="0" w:color="000000"/>
            </w:tcBorders>
            <w:vAlign w:val="center"/>
          </w:tcPr>
          <w:p w14:paraId="442E914F" w14:textId="77777777" w:rsidR="00076856" w:rsidRPr="00A54222" w:rsidRDefault="00DE4299" w:rsidP="00756C58">
            <w:pPr>
              <w:spacing w:line="360" w:lineRule="auto"/>
              <w:jc w:val="right"/>
              <w:rPr>
                <w:rFonts w:ascii="Arial" w:eastAsia="Arial" w:hAnsi="Arial" w:cs="Arial"/>
                <w:sz w:val="20"/>
                <w:szCs w:val="20"/>
              </w:rPr>
            </w:pPr>
            <w:r w:rsidRPr="00A54222">
              <w:rPr>
                <w:rFonts w:ascii="Arial" w:eastAsia="Arial" w:hAnsi="Arial" w:cs="Arial"/>
                <w:sz w:val="20"/>
                <w:szCs w:val="20"/>
              </w:rPr>
              <w:t>26,5%</w:t>
            </w:r>
          </w:p>
        </w:tc>
        <w:tc>
          <w:tcPr>
            <w:tcW w:w="1221" w:type="dxa"/>
            <w:tcBorders>
              <w:left w:val="single" w:sz="12" w:space="0" w:color="000000"/>
              <w:right w:val="single" w:sz="12" w:space="0" w:color="000000"/>
            </w:tcBorders>
            <w:vAlign w:val="center"/>
          </w:tcPr>
          <w:p w14:paraId="4989687A" w14:textId="77777777" w:rsidR="00076856" w:rsidRPr="00A54222" w:rsidRDefault="00DE4299" w:rsidP="00756C58">
            <w:pPr>
              <w:spacing w:line="360" w:lineRule="auto"/>
              <w:jc w:val="right"/>
              <w:rPr>
                <w:rFonts w:ascii="Arial" w:eastAsia="Arial" w:hAnsi="Arial" w:cs="Arial"/>
                <w:sz w:val="20"/>
                <w:szCs w:val="20"/>
              </w:rPr>
            </w:pPr>
            <w:r w:rsidRPr="00A54222">
              <w:rPr>
                <w:rFonts w:ascii="Arial" w:eastAsia="Arial" w:hAnsi="Arial" w:cs="Arial"/>
                <w:sz w:val="20"/>
                <w:szCs w:val="20"/>
              </w:rPr>
              <w:t>27,5%</w:t>
            </w:r>
          </w:p>
        </w:tc>
      </w:tr>
      <w:tr w:rsidR="00076856" w:rsidRPr="00A54222" w14:paraId="345016B3" w14:textId="77777777" w:rsidTr="006D15B2">
        <w:trPr>
          <w:trHeight w:val="135"/>
        </w:trPr>
        <w:tc>
          <w:tcPr>
            <w:tcW w:w="2887" w:type="dxa"/>
            <w:vMerge w:val="restart"/>
            <w:tcBorders>
              <w:left w:val="single" w:sz="12" w:space="0" w:color="000000"/>
              <w:right w:val="single" w:sz="4" w:space="0" w:color="000000"/>
            </w:tcBorders>
            <w:vAlign w:val="center"/>
          </w:tcPr>
          <w:p w14:paraId="5CDC4443" w14:textId="77777777" w:rsidR="00076856" w:rsidRPr="00A54222" w:rsidRDefault="00DE4299" w:rsidP="00756C58">
            <w:pPr>
              <w:spacing w:line="360" w:lineRule="auto"/>
              <w:rPr>
                <w:rFonts w:ascii="Arial" w:eastAsia="Arial" w:hAnsi="Arial" w:cs="Arial"/>
                <w:sz w:val="20"/>
                <w:szCs w:val="20"/>
              </w:rPr>
            </w:pPr>
            <w:r w:rsidRPr="00A54222">
              <w:rPr>
                <w:rFonts w:ascii="Arial" w:eastAsia="Arial" w:hAnsi="Arial" w:cs="Arial"/>
                <w:sz w:val="20"/>
                <w:szCs w:val="20"/>
              </w:rPr>
              <w:t>Vjerojatno ne</w:t>
            </w:r>
          </w:p>
        </w:tc>
        <w:tc>
          <w:tcPr>
            <w:tcW w:w="1527" w:type="dxa"/>
            <w:tcBorders>
              <w:left w:val="single" w:sz="4" w:space="0" w:color="000000"/>
              <w:right w:val="single" w:sz="4" w:space="0" w:color="000000"/>
            </w:tcBorders>
            <w:vAlign w:val="center"/>
          </w:tcPr>
          <w:p w14:paraId="09339CE7" w14:textId="77777777" w:rsidR="00076856" w:rsidRPr="00A54222" w:rsidRDefault="00DE4299" w:rsidP="00756C58">
            <w:pPr>
              <w:spacing w:line="360" w:lineRule="auto"/>
              <w:rPr>
                <w:rFonts w:ascii="Arial" w:eastAsia="Arial" w:hAnsi="Arial" w:cs="Arial"/>
                <w:sz w:val="20"/>
                <w:szCs w:val="20"/>
              </w:rPr>
            </w:pPr>
            <w:r w:rsidRPr="00A54222">
              <w:rPr>
                <w:rFonts w:ascii="Arial" w:eastAsia="Arial" w:hAnsi="Arial" w:cs="Arial"/>
                <w:sz w:val="20"/>
                <w:szCs w:val="20"/>
              </w:rPr>
              <w:t>Broj (N)</w:t>
            </w:r>
          </w:p>
        </w:tc>
        <w:tc>
          <w:tcPr>
            <w:tcW w:w="1221" w:type="dxa"/>
            <w:tcBorders>
              <w:left w:val="single" w:sz="4" w:space="0" w:color="000000"/>
              <w:right w:val="single" w:sz="4" w:space="0" w:color="000000"/>
            </w:tcBorders>
            <w:vAlign w:val="center"/>
          </w:tcPr>
          <w:p w14:paraId="1C17063D" w14:textId="77777777" w:rsidR="00076856" w:rsidRPr="00A54222" w:rsidRDefault="00DE4299" w:rsidP="00756C58">
            <w:pPr>
              <w:spacing w:line="360" w:lineRule="auto"/>
              <w:jc w:val="right"/>
              <w:rPr>
                <w:rFonts w:ascii="Arial" w:eastAsia="Arial" w:hAnsi="Arial" w:cs="Arial"/>
                <w:sz w:val="20"/>
                <w:szCs w:val="20"/>
              </w:rPr>
            </w:pPr>
            <w:r w:rsidRPr="00A54222">
              <w:rPr>
                <w:rFonts w:ascii="Arial" w:eastAsia="Arial" w:hAnsi="Arial" w:cs="Arial"/>
                <w:sz w:val="20"/>
                <w:szCs w:val="20"/>
              </w:rPr>
              <w:t>162</w:t>
            </w:r>
          </w:p>
        </w:tc>
        <w:tc>
          <w:tcPr>
            <w:tcW w:w="1221" w:type="dxa"/>
            <w:tcBorders>
              <w:left w:val="single" w:sz="4" w:space="0" w:color="000000"/>
              <w:right w:val="single" w:sz="4" w:space="0" w:color="000000"/>
            </w:tcBorders>
            <w:vAlign w:val="center"/>
          </w:tcPr>
          <w:p w14:paraId="3A570E1A" w14:textId="77777777" w:rsidR="00076856" w:rsidRPr="00A54222" w:rsidRDefault="00DE4299" w:rsidP="00756C58">
            <w:pPr>
              <w:spacing w:line="360" w:lineRule="auto"/>
              <w:jc w:val="right"/>
              <w:rPr>
                <w:rFonts w:ascii="Arial" w:eastAsia="Arial" w:hAnsi="Arial" w:cs="Arial"/>
                <w:sz w:val="20"/>
                <w:szCs w:val="20"/>
              </w:rPr>
            </w:pPr>
            <w:r w:rsidRPr="00A54222">
              <w:rPr>
                <w:rFonts w:ascii="Arial" w:eastAsia="Arial" w:hAnsi="Arial" w:cs="Arial"/>
                <w:sz w:val="20"/>
                <w:szCs w:val="20"/>
              </w:rPr>
              <w:t>50</w:t>
            </w:r>
          </w:p>
        </w:tc>
        <w:tc>
          <w:tcPr>
            <w:tcW w:w="1222" w:type="dxa"/>
            <w:tcBorders>
              <w:left w:val="single" w:sz="4" w:space="0" w:color="000000"/>
              <w:right w:val="single" w:sz="12" w:space="0" w:color="000000"/>
            </w:tcBorders>
            <w:vAlign w:val="center"/>
          </w:tcPr>
          <w:p w14:paraId="38C4E146" w14:textId="77777777" w:rsidR="00076856" w:rsidRPr="00A54222" w:rsidRDefault="00DE4299" w:rsidP="00756C58">
            <w:pPr>
              <w:spacing w:line="360" w:lineRule="auto"/>
              <w:jc w:val="right"/>
              <w:rPr>
                <w:rFonts w:ascii="Arial" w:eastAsia="Arial" w:hAnsi="Arial" w:cs="Arial"/>
                <w:sz w:val="20"/>
                <w:szCs w:val="20"/>
              </w:rPr>
            </w:pPr>
            <w:r w:rsidRPr="00A54222">
              <w:rPr>
                <w:rFonts w:ascii="Arial" w:eastAsia="Arial" w:hAnsi="Arial" w:cs="Arial"/>
                <w:sz w:val="20"/>
                <w:szCs w:val="20"/>
              </w:rPr>
              <w:t>347</w:t>
            </w:r>
          </w:p>
        </w:tc>
        <w:tc>
          <w:tcPr>
            <w:tcW w:w="1221" w:type="dxa"/>
            <w:tcBorders>
              <w:left w:val="single" w:sz="12" w:space="0" w:color="000000"/>
              <w:right w:val="single" w:sz="12" w:space="0" w:color="000000"/>
            </w:tcBorders>
            <w:vAlign w:val="center"/>
          </w:tcPr>
          <w:p w14:paraId="74030E7F" w14:textId="77777777" w:rsidR="00076856" w:rsidRPr="00A54222" w:rsidRDefault="00DE4299" w:rsidP="00756C58">
            <w:pPr>
              <w:spacing w:line="360" w:lineRule="auto"/>
              <w:jc w:val="right"/>
              <w:rPr>
                <w:rFonts w:ascii="Arial" w:eastAsia="Arial" w:hAnsi="Arial" w:cs="Arial"/>
                <w:sz w:val="20"/>
                <w:szCs w:val="20"/>
              </w:rPr>
            </w:pPr>
            <w:r w:rsidRPr="00A54222">
              <w:rPr>
                <w:rFonts w:ascii="Arial" w:eastAsia="Arial" w:hAnsi="Arial" w:cs="Arial"/>
                <w:sz w:val="20"/>
                <w:szCs w:val="20"/>
              </w:rPr>
              <w:t>559</w:t>
            </w:r>
          </w:p>
        </w:tc>
      </w:tr>
      <w:tr w:rsidR="00076856" w:rsidRPr="00A54222" w14:paraId="0E81ADBF" w14:textId="77777777" w:rsidTr="006D15B2">
        <w:trPr>
          <w:trHeight w:val="135"/>
        </w:trPr>
        <w:tc>
          <w:tcPr>
            <w:tcW w:w="2887" w:type="dxa"/>
            <w:vMerge/>
            <w:tcBorders>
              <w:left w:val="single" w:sz="12" w:space="0" w:color="000000"/>
              <w:right w:val="single" w:sz="4" w:space="0" w:color="000000"/>
            </w:tcBorders>
            <w:vAlign w:val="center"/>
          </w:tcPr>
          <w:p w14:paraId="7F838E8A" w14:textId="77777777" w:rsidR="00076856" w:rsidRPr="00A54222" w:rsidRDefault="00076856" w:rsidP="00756C58">
            <w:pPr>
              <w:widowControl w:val="0"/>
              <w:pBdr>
                <w:top w:val="nil"/>
                <w:left w:val="nil"/>
                <w:bottom w:val="nil"/>
                <w:right w:val="nil"/>
                <w:between w:val="nil"/>
              </w:pBdr>
              <w:spacing w:line="360" w:lineRule="auto"/>
              <w:rPr>
                <w:rFonts w:ascii="Arial" w:eastAsia="Arial" w:hAnsi="Arial" w:cs="Arial"/>
                <w:sz w:val="20"/>
                <w:szCs w:val="20"/>
              </w:rPr>
            </w:pPr>
          </w:p>
        </w:tc>
        <w:tc>
          <w:tcPr>
            <w:tcW w:w="1527" w:type="dxa"/>
            <w:tcBorders>
              <w:left w:val="single" w:sz="4" w:space="0" w:color="000000"/>
              <w:right w:val="single" w:sz="4" w:space="0" w:color="000000"/>
            </w:tcBorders>
            <w:vAlign w:val="center"/>
          </w:tcPr>
          <w:p w14:paraId="75004934" w14:textId="77777777" w:rsidR="00076856" w:rsidRPr="00A54222" w:rsidRDefault="00DE4299" w:rsidP="00756C58">
            <w:pPr>
              <w:spacing w:line="360" w:lineRule="auto"/>
              <w:rPr>
                <w:rFonts w:ascii="Arial" w:eastAsia="Arial" w:hAnsi="Arial" w:cs="Arial"/>
                <w:sz w:val="20"/>
                <w:szCs w:val="20"/>
              </w:rPr>
            </w:pPr>
            <w:r w:rsidRPr="00A54222">
              <w:rPr>
                <w:rFonts w:ascii="Arial" w:eastAsia="Arial" w:hAnsi="Arial" w:cs="Arial"/>
                <w:sz w:val="20"/>
                <w:szCs w:val="20"/>
              </w:rPr>
              <w:t>% unutar područja</w:t>
            </w:r>
          </w:p>
        </w:tc>
        <w:tc>
          <w:tcPr>
            <w:tcW w:w="1221" w:type="dxa"/>
            <w:tcBorders>
              <w:left w:val="single" w:sz="4" w:space="0" w:color="000000"/>
              <w:right w:val="single" w:sz="4" w:space="0" w:color="000000"/>
            </w:tcBorders>
            <w:vAlign w:val="center"/>
          </w:tcPr>
          <w:p w14:paraId="27054082" w14:textId="77777777" w:rsidR="00076856" w:rsidRPr="00A54222" w:rsidRDefault="00DE4299" w:rsidP="00756C58">
            <w:pPr>
              <w:spacing w:line="360" w:lineRule="auto"/>
              <w:jc w:val="right"/>
              <w:rPr>
                <w:rFonts w:ascii="Arial" w:eastAsia="Arial" w:hAnsi="Arial" w:cs="Arial"/>
                <w:sz w:val="20"/>
                <w:szCs w:val="20"/>
              </w:rPr>
            </w:pPr>
            <w:r w:rsidRPr="00A54222">
              <w:rPr>
                <w:rFonts w:ascii="Arial" w:eastAsia="Arial" w:hAnsi="Arial" w:cs="Arial"/>
                <w:sz w:val="20"/>
                <w:szCs w:val="20"/>
              </w:rPr>
              <w:t>36,7%</w:t>
            </w:r>
          </w:p>
        </w:tc>
        <w:tc>
          <w:tcPr>
            <w:tcW w:w="1221" w:type="dxa"/>
            <w:tcBorders>
              <w:left w:val="single" w:sz="4" w:space="0" w:color="000000"/>
              <w:right w:val="single" w:sz="4" w:space="0" w:color="000000"/>
            </w:tcBorders>
            <w:vAlign w:val="center"/>
          </w:tcPr>
          <w:p w14:paraId="0F88955E" w14:textId="77777777" w:rsidR="00076856" w:rsidRPr="00A54222" w:rsidRDefault="00DE4299" w:rsidP="00756C58">
            <w:pPr>
              <w:spacing w:line="360" w:lineRule="auto"/>
              <w:jc w:val="right"/>
              <w:rPr>
                <w:rFonts w:ascii="Arial" w:eastAsia="Arial" w:hAnsi="Arial" w:cs="Arial"/>
                <w:sz w:val="20"/>
                <w:szCs w:val="20"/>
              </w:rPr>
            </w:pPr>
            <w:r w:rsidRPr="00A54222">
              <w:rPr>
                <w:rFonts w:ascii="Arial" w:eastAsia="Arial" w:hAnsi="Arial" w:cs="Arial"/>
                <w:sz w:val="20"/>
                <w:szCs w:val="20"/>
              </w:rPr>
              <w:t>45,9%</w:t>
            </w:r>
          </w:p>
        </w:tc>
        <w:tc>
          <w:tcPr>
            <w:tcW w:w="1222" w:type="dxa"/>
            <w:tcBorders>
              <w:left w:val="single" w:sz="4" w:space="0" w:color="000000"/>
              <w:right w:val="single" w:sz="12" w:space="0" w:color="000000"/>
            </w:tcBorders>
            <w:vAlign w:val="center"/>
          </w:tcPr>
          <w:p w14:paraId="05D6FE56" w14:textId="77777777" w:rsidR="00076856" w:rsidRPr="00A54222" w:rsidRDefault="00DE4299" w:rsidP="00756C58">
            <w:pPr>
              <w:spacing w:line="360" w:lineRule="auto"/>
              <w:jc w:val="right"/>
              <w:rPr>
                <w:rFonts w:ascii="Arial" w:eastAsia="Arial" w:hAnsi="Arial" w:cs="Arial"/>
                <w:sz w:val="20"/>
                <w:szCs w:val="20"/>
              </w:rPr>
            </w:pPr>
            <w:r w:rsidRPr="00A54222">
              <w:rPr>
                <w:rFonts w:ascii="Arial" w:eastAsia="Arial" w:hAnsi="Arial" w:cs="Arial"/>
                <w:sz w:val="20"/>
                <w:szCs w:val="20"/>
              </w:rPr>
              <w:t>39,8%</w:t>
            </w:r>
          </w:p>
        </w:tc>
        <w:tc>
          <w:tcPr>
            <w:tcW w:w="1221" w:type="dxa"/>
            <w:tcBorders>
              <w:left w:val="single" w:sz="12" w:space="0" w:color="000000"/>
              <w:right w:val="single" w:sz="12" w:space="0" w:color="000000"/>
            </w:tcBorders>
            <w:vAlign w:val="center"/>
          </w:tcPr>
          <w:p w14:paraId="23E7CBC9" w14:textId="77777777" w:rsidR="00076856" w:rsidRPr="00A54222" w:rsidRDefault="00DE4299" w:rsidP="00756C58">
            <w:pPr>
              <w:spacing w:line="360" w:lineRule="auto"/>
              <w:jc w:val="right"/>
              <w:rPr>
                <w:rFonts w:ascii="Arial" w:eastAsia="Arial" w:hAnsi="Arial" w:cs="Arial"/>
                <w:sz w:val="20"/>
                <w:szCs w:val="20"/>
              </w:rPr>
            </w:pPr>
            <w:r w:rsidRPr="00A54222">
              <w:rPr>
                <w:rFonts w:ascii="Arial" w:eastAsia="Arial" w:hAnsi="Arial" w:cs="Arial"/>
                <w:sz w:val="20"/>
                <w:szCs w:val="20"/>
              </w:rPr>
              <w:t>39,3%</w:t>
            </w:r>
          </w:p>
        </w:tc>
      </w:tr>
      <w:tr w:rsidR="00076856" w:rsidRPr="00A54222" w14:paraId="270CF5D6" w14:textId="77777777" w:rsidTr="006D15B2">
        <w:trPr>
          <w:trHeight w:val="135"/>
        </w:trPr>
        <w:tc>
          <w:tcPr>
            <w:tcW w:w="2887" w:type="dxa"/>
            <w:vMerge w:val="restart"/>
            <w:tcBorders>
              <w:left w:val="single" w:sz="12" w:space="0" w:color="000000"/>
              <w:right w:val="single" w:sz="4" w:space="0" w:color="000000"/>
            </w:tcBorders>
            <w:vAlign w:val="center"/>
          </w:tcPr>
          <w:p w14:paraId="1FF3360E" w14:textId="77777777" w:rsidR="00076856" w:rsidRPr="00A54222" w:rsidRDefault="00DE4299" w:rsidP="00756C58">
            <w:pPr>
              <w:spacing w:line="360" w:lineRule="auto"/>
              <w:rPr>
                <w:rFonts w:ascii="Arial" w:eastAsia="Arial" w:hAnsi="Arial" w:cs="Arial"/>
                <w:sz w:val="20"/>
                <w:szCs w:val="20"/>
              </w:rPr>
            </w:pPr>
            <w:r w:rsidRPr="00A54222">
              <w:rPr>
                <w:rFonts w:ascii="Arial" w:eastAsia="Arial" w:hAnsi="Arial" w:cs="Arial"/>
                <w:sz w:val="20"/>
                <w:szCs w:val="20"/>
              </w:rPr>
              <w:t>Definitivno ne</w:t>
            </w:r>
          </w:p>
        </w:tc>
        <w:tc>
          <w:tcPr>
            <w:tcW w:w="1527" w:type="dxa"/>
            <w:tcBorders>
              <w:left w:val="single" w:sz="4" w:space="0" w:color="000000"/>
              <w:right w:val="single" w:sz="4" w:space="0" w:color="000000"/>
            </w:tcBorders>
            <w:vAlign w:val="center"/>
          </w:tcPr>
          <w:p w14:paraId="506D7D5E" w14:textId="77777777" w:rsidR="00076856" w:rsidRPr="00A54222" w:rsidRDefault="00DE4299" w:rsidP="00756C58">
            <w:pPr>
              <w:spacing w:line="360" w:lineRule="auto"/>
              <w:rPr>
                <w:rFonts w:ascii="Arial" w:eastAsia="Arial" w:hAnsi="Arial" w:cs="Arial"/>
                <w:sz w:val="20"/>
                <w:szCs w:val="20"/>
              </w:rPr>
            </w:pPr>
            <w:r w:rsidRPr="00A54222">
              <w:rPr>
                <w:rFonts w:ascii="Arial" w:eastAsia="Arial" w:hAnsi="Arial" w:cs="Arial"/>
                <w:sz w:val="20"/>
                <w:szCs w:val="20"/>
              </w:rPr>
              <w:t>Broj (N)</w:t>
            </w:r>
          </w:p>
        </w:tc>
        <w:tc>
          <w:tcPr>
            <w:tcW w:w="1221" w:type="dxa"/>
            <w:tcBorders>
              <w:left w:val="single" w:sz="4" w:space="0" w:color="000000"/>
              <w:right w:val="single" w:sz="4" w:space="0" w:color="000000"/>
            </w:tcBorders>
            <w:vAlign w:val="center"/>
          </w:tcPr>
          <w:p w14:paraId="136F6787" w14:textId="77777777" w:rsidR="00076856" w:rsidRPr="00A54222" w:rsidRDefault="00DE4299" w:rsidP="00756C58">
            <w:pPr>
              <w:spacing w:line="360" w:lineRule="auto"/>
              <w:jc w:val="right"/>
              <w:rPr>
                <w:rFonts w:ascii="Arial" w:eastAsia="Arial" w:hAnsi="Arial" w:cs="Arial"/>
                <w:sz w:val="20"/>
                <w:szCs w:val="20"/>
              </w:rPr>
            </w:pPr>
            <w:r w:rsidRPr="00A54222">
              <w:rPr>
                <w:rFonts w:ascii="Arial" w:eastAsia="Arial" w:hAnsi="Arial" w:cs="Arial"/>
                <w:sz w:val="20"/>
                <w:szCs w:val="20"/>
              </w:rPr>
              <w:t>80</w:t>
            </w:r>
          </w:p>
        </w:tc>
        <w:tc>
          <w:tcPr>
            <w:tcW w:w="1221" w:type="dxa"/>
            <w:tcBorders>
              <w:left w:val="single" w:sz="4" w:space="0" w:color="000000"/>
              <w:right w:val="single" w:sz="4" w:space="0" w:color="000000"/>
            </w:tcBorders>
            <w:vAlign w:val="center"/>
          </w:tcPr>
          <w:p w14:paraId="33E35A7E" w14:textId="77777777" w:rsidR="00076856" w:rsidRPr="00A54222" w:rsidRDefault="00DE4299" w:rsidP="00756C58">
            <w:pPr>
              <w:spacing w:line="360" w:lineRule="auto"/>
              <w:jc w:val="right"/>
              <w:rPr>
                <w:rFonts w:ascii="Arial" w:eastAsia="Arial" w:hAnsi="Arial" w:cs="Arial"/>
                <w:sz w:val="20"/>
                <w:szCs w:val="20"/>
              </w:rPr>
            </w:pPr>
            <w:r w:rsidRPr="00A54222">
              <w:rPr>
                <w:rFonts w:ascii="Arial" w:eastAsia="Arial" w:hAnsi="Arial" w:cs="Arial"/>
                <w:sz w:val="20"/>
                <w:szCs w:val="20"/>
              </w:rPr>
              <w:t>23</w:t>
            </w:r>
          </w:p>
        </w:tc>
        <w:tc>
          <w:tcPr>
            <w:tcW w:w="1222" w:type="dxa"/>
            <w:tcBorders>
              <w:left w:val="single" w:sz="4" w:space="0" w:color="000000"/>
              <w:right w:val="single" w:sz="12" w:space="0" w:color="000000"/>
            </w:tcBorders>
            <w:vAlign w:val="center"/>
          </w:tcPr>
          <w:p w14:paraId="3413734F" w14:textId="77777777" w:rsidR="00076856" w:rsidRPr="00A54222" w:rsidRDefault="00DE4299" w:rsidP="00756C58">
            <w:pPr>
              <w:spacing w:line="360" w:lineRule="auto"/>
              <w:jc w:val="right"/>
              <w:rPr>
                <w:rFonts w:ascii="Arial" w:eastAsia="Arial" w:hAnsi="Arial" w:cs="Arial"/>
                <w:sz w:val="20"/>
                <w:szCs w:val="20"/>
              </w:rPr>
            </w:pPr>
            <w:r w:rsidRPr="00A54222">
              <w:rPr>
                <w:rFonts w:ascii="Arial" w:eastAsia="Arial" w:hAnsi="Arial" w:cs="Arial"/>
                <w:sz w:val="20"/>
                <w:szCs w:val="20"/>
              </w:rPr>
              <w:t>214</w:t>
            </w:r>
          </w:p>
        </w:tc>
        <w:tc>
          <w:tcPr>
            <w:tcW w:w="1221" w:type="dxa"/>
            <w:tcBorders>
              <w:left w:val="single" w:sz="12" w:space="0" w:color="000000"/>
              <w:right w:val="single" w:sz="12" w:space="0" w:color="000000"/>
            </w:tcBorders>
            <w:vAlign w:val="center"/>
          </w:tcPr>
          <w:p w14:paraId="693B67E0" w14:textId="77777777" w:rsidR="00076856" w:rsidRPr="00A54222" w:rsidRDefault="00DE4299" w:rsidP="00756C58">
            <w:pPr>
              <w:spacing w:line="360" w:lineRule="auto"/>
              <w:jc w:val="right"/>
              <w:rPr>
                <w:rFonts w:ascii="Arial" w:eastAsia="Arial" w:hAnsi="Arial" w:cs="Arial"/>
                <w:sz w:val="20"/>
                <w:szCs w:val="20"/>
              </w:rPr>
            </w:pPr>
            <w:r w:rsidRPr="00A54222">
              <w:rPr>
                <w:rFonts w:ascii="Arial" w:eastAsia="Arial" w:hAnsi="Arial" w:cs="Arial"/>
                <w:sz w:val="20"/>
                <w:szCs w:val="20"/>
              </w:rPr>
              <w:t>317</w:t>
            </w:r>
          </w:p>
        </w:tc>
      </w:tr>
      <w:tr w:rsidR="00076856" w:rsidRPr="00A54222" w14:paraId="2A6FC678" w14:textId="77777777" w:rsidTr="006D15B2">
        <w:trPr>
          <w:trHeight w:val="135"/>
        </w:trPr>
        <w:tc>
          <w:tcPr>
            <w:tcW w:w="2887" w:type="dxa"/>
            <w:vMerge/>
            <w:tcBorders>
              <w:left w:val="single" w:sz="12" w:space="0" w:color="000000"/>
              <w:right w:val="single" w:sz="4" w:space="0" w:color="000000"/>
            </w:tcBorders>
            <w:vAlign w:val="center"/>
          </w:tcPr>
          <w:p w14:paraId="373FD714" w14:textId="77777777" w:rsidR="00076856" w:rsidRPr="00A54222" w:rsidRDefault="00076856" w:rsidP="00756C58">
            <w:pPr>
              <w:widowControl w:val="0"/>
              <w:pBdr>
                <w:top w:val="nil"/>
                <w:left w:val="nil"/>
                <w:bottom w:val="nil"/>
                <w:right w:val="nil"/>
                <w:between w:val="nil"/>
              </w:pBdr>
              <w:spacing w:line="360" w:lineRule="auto"/>
              <w:rPr>
                <w:rFonts w:ascii="Arial" w:eastAsia="Arial" w:hAnsi="Arial" w:cs="Arial"/>
                <w:sz w:val="20"/>
                <w:szCs w:val="20"/>
              </w:rPr>
            </w:pPr>
          </w:p>
        </w:tc>
        <w:tc>
          <w:tcPr>
            <w:tcW w:w="1527" w:type="dxa"/>
            <w:tcBorders>
              <w:left w:val="single" w:sz="4" w:space="0" w:color="000000"/>
              <w:right w:val="single" w:sz="4" w:space="0" w:color="000000"/>
            </w:tcBorders>
            <w:vAlign w:val="center"/>
          </w:tcPr>
          <w:p w14:paraId="272AE6EB" w14:textId="77777777" w:rsidR="00076856" w:rsidRPr="00A54222" w:rsidRDefault="00DE4299" w:rsidP="00756C58">
            <w:pPr>
              <w:spacing w:line="360" w:lineRule="auto"/>
              <w:rPr>
                <w:rFonts w:ascii="Arial" w:eastAsia="Arial" w:hAnsi="Arial" w:cs="Arial"/>
                <w:sz w:val="20"/>
                <w:szCs w:val="20"/>
              </w:rPr>
            </w:pPr>
            <w:r w:rsidRPr="00A54222">
              <w:rPr>
                <w:rFonts w:ascii="Arial" w:eastAsia="Arial" w:hAnsi="Arial" w:cs="Arial"/>
                <w:sz w:val="20"/>
                <w:szCs w:val="20"/>
              </w:rPr>
              <w:t>% unutar područja</w:t>
            </w:r>
          </w:p>
        </w:tc>
        <w:tc>
          <w:tcPr>
            <w:tcW w:w="1221" w:type="dxa"/>
            <w:tcBorders>
              <w:left w:val="single" w:sz="4" w:space="0" w:color="000000"/>
              <w:right w:val="single" w:sz="4" w:space="0" w:color="000000"/>
            </w:tcBorders>
            <w:vAlign w:val="center"/>
          </w:tcPr>
          <w:p w14:paraId="33E9983E" w14:textId="77777777" w:rsidR="00076856" w:rsidRPr="00A54222" w:rsidRDefault="00DE4299" w:rsidP="00756C58">
            <w:pPr>
              <w:spacing w:line="360" w:lineRule="auto"/>
              <w:jc w:val="right"/>
              <w:rPr>
                <w:rFonts w:ascii="Arial" w:eastAsia="Arial" w:hAnsi="Arial" w:cs="Arial"/>
                <w:sz w:val="20"/>
                <w:szCs w:val="20"/>
              </w:rPr>
            </w:pPr>
            <w:r w:rsidRPr="00A54222">
              <w:rPr>
                <w:rFonts w:ascii="Arial" w:eastAsia="Arial" w:hAnsi="Arial" w:cs="Arial"/>
                <w:sz w:val="20"/>
                <w:szCs w:val="20"/>
              </w:rPr>
              <w:t>18,1%</w:t>
            </w:r>
          </w:p>
        </w:tc>
        <w:tc>
          <w:tcPr>
            <w:tcW w:w="1221" w:type="dxa"/>
            <w:tcBorders>
              <w:left w:val="single" w:sz="4" w:space="0" w:color="000000"/>
              <w:right w:val="single" w:sz="4" w:space="0" w:color="000000"/>
            </w:tcBorders>
            <w:vAlign w:val="center"/>
          </w:tcPr>
          <w:p w14:paraId="23825852" w14:textId="77777777" w:rsidR="00076856" w:rsidRPr="00A54222" w:rsidRDefault="00DE4299" w:rsidP="00756C58">
            <w:pPr>
              <w:spacing w:line="360" w:lineRule="auto"/>
              <w:jc w:val="right"/>
              <w:rPr>
                <w:rFonts w:ascii="Arial" w:eastAsia="Arial" w:hAnsi="Arial" w:cs="Arial"/>
                <w:sz w:val="20"/>
                <w:szCs w:val="20"/>
              </w:rPr>
            </w:pPr>
            <w:r w:rsidRPr="00A54222">
              <w:rPr>
                <w:rFonts w:ascii="Arial" w:eastAsia="Arial" w:hAnsi="Arial" w:cs="Arial"/>
                <w:sz w:val="20"/>
                <w:szCs w:val="20"/>
              </w:rPr>
              <w:t>21,1%</w:t>
            </w:r>
          </w:p>
        </w:tc>
        <w:tc>
          <w:tcPr>
            <w:tcW w:w="1222" w:type="dxa"/>
            <w:tcBorders>
              <w:left w:val="single" w:sz="4" w:space="0" w:color="000000"/>
              <w:right w:val="single" w:sz="12" w:space="0" w:color="000000"/>
            </w:tcBorders>
            <w:vAlign w:val="center"/>
          </w:tcPr>
          <w:p w14:paraId="5A82F470" w14:textId="77777777" w:rsidR="00076856" w:rsidRPr="00A54222" w:rsidRDefault="00DE4299" w:rsidP="00756C58">
            <w:pPr>
              <w:spacing w:line="360" w:lineRule="auto"/>
              <w:jc w:val="right"/>
              <w:rPr>
                <w:rFonts w:ascii="Arial" w:eastAsia="Arial" w:hAnsi="Arial" w:cs="Arial"/>
                <w:sz w:val="20"/>
                <w:szCs w:val="20"/>
              </w:rPr>
            </w:pPr>
            <w:r w:rsidRPr="00A54222">
              <w:rPr>
                <w:rFonts w:ascii="Arial" w:eastAsia="Arial" w:hAnsi="Arial" w:cs="Arial"/>
                <w:sz w:val="20"/>
                <w:szCs w:val="20"/>
              </w:rPr>
              <w:t>24,5%</w:t>
            </w:r>
          </w:p>
        </w:tc>
        <w:tc>
          <w:tcPr>
            <w:tcW w:w="1221" w:type="dxa"/>
            <w:tcBorders>
              <w:left w:val="single" w:sz="12" w:space="0" w:color="000000"/>
              <w:right w:val="single" w:sz="12" w:space="0" w:color="000000"/>
            </w:tcBorders>
            <w:vAlign w:val="center"/>
          </w:tcPr>
          <w:p w14:paraId="6CE864CC" w14:textId="77777777" w:rsidR="00076856" w:rsidRPr="00A54222" w:rsidRDefault="00DE4299" w:rsidP="00756C58">
            <w:pPr>
              <w:spacing w:line="360" w:lineRule="auto"/>
              <w:jc w:val="right"/>
              <w:rPr>
                <w:rFonts w:ascii="Arial" w:eastAsia="Arial" w:hAnsi="Arial" w:cs="Arial"/>
                <w:sz w:val="20"/>
                <w:szCs w:val="20"/>
              </w:rPr>
            </w:pPr>
            <w:r w:rsidRPr="00A54222">
              <w:rPr>
                <w:rFonts w:ascii="Arial" w:eastAsia="Arial" w:hAnsi="Arial" w:cs="Arial"/>
                <w:sz w:val="20"/>
                <w:szCs w:val="20"/>
              </w:rPr>
              <w:t>22,3%</w:t>
            </w:r>
          </w:p>
        </w:tc>
      </w:tr>
      <w:tr w:rsidR="00076856" w:rsidRPr="00A54222" w14:paraId="2E542DF6" w14:textId="77777777" w:rsidTr="006D15B2">
        <w:trPr>
          <w:trHeight w:val="135"/>
        </w:trPr>
        <w:tc>
          <w:tcPr>
            <w:tcW w:w="2887" w:type="dxa"/>
            <w:vMerge w:val="restart"/>
            <w:tcBorders>
              <w:top w:val="single" w:sz="12" w:space="0" w:color="000000"/>
              <w:left w:val="single" w:sz="12" w:space="0" w:color="000000"/>
              <w:right w:val="single" w:sz="4" w:space="0" w:color="000000"/>
            </w:tcBorders>
            <w:shd w:val="clear" w:color="auto" w:fill="D9D9D9"/>
            <w:vAlign w:val="center"/>
          </w:tcPr>
          <w:p w14:paraId="1D1DB3DA" w14:textId="77777777" w:rsidR="00076856" w:rsidRPr="00A54222" w:rsidRDefault="00DE4299" w:rsidP="00756C58">
            <w:pPr>
              <w:spacing w:line="360" w:lineRule="auto"/>
              <w:rPr>
                <w:rFonts w:ascii="Arial" w:eastAsia="Arial" w:hAnsi="Arial" w:cs="Arial"/>
                <w:sz w:val="20"/>
                <w:szCs w:val="20"/>
              </w:rPr>
            </w:pPr>
            <w:r w:rsidRPr="00A54222">
              <w:rPr>
                <w:rFonts w:ascii="Arial" w:eastAsia="Arial" w:hAnsi="Arial" w:cs="Arial"/>
                <w:sz w:val="20"/>
                <w:szCs w:val="20"/>
              </w:rPr>
              <w:t>Ukupno</w:t>
            </w:r>
          </w:p>
        </w:tc>
        <w:tc>
          <w:tcPr>
            <w:tcW w:w="1527" w:type="dxa"/>
            <w:tcBorders>
              <w:top w:val="single" w:sz="12" w:space="0" w:color="000000"/>
              <w:left w:val="single" w:sz="4" w:space="0" w:color="000000"/>
              <w:bottom w:val="single" w:sz="4" w:space="0" w:color="000000"/>
              <w:right w:val="single" w:sz="4" w:space="0" w:color="000000"/>
            </w:tcBorders>
            <w:shd w:val="clear" w:color="auto" w:fill="D9D9D9"/>
            <w:vAlign w:val="center"/>
          </w:tcPr>
          <w:p w14:paraId="178965E6" w14:textId="77777777" w:rsidR="00076856" w:rsidRPr="00A54222" w:rsidRDefault="00DE4299" w:rsidP="00756C58">
            <w:pPr>
              <w:spacing w:line="360" w:lineRule="auto"/>
              <w:rPr>
                <w:rFonts w:ascii="Arial" w:eastAsia="Arial" w:hAnsi="Arial" w:cs="Arial"/>
                <w:sz w:val="20"/>
                <w:szCs w:val="20"/>
              </w:rPr>
            </w:pPr>
            <w:r w:rsidRPr="00A54222">
              <w:rPr>
                <w:rFonts w:ascii="Arial" w:eastAsia="Arial" w:hAnsi="Arial" w:cs="Arial"/>
                <w:sz w:val="20"/>
                <w:szCs w:val="20"/>
              </w:rPr>
              <w:t>Broj (N)</w:t>
            </w:r>
          </w:p>
        </w:tc>
        <w:tc>
          <w:tcPr>
            <w:tcW w:w="1221" w:type="dxa"/>
            <w:tcBorders>
              <w:top w:val="single" w:sz="12" w:space="0" w:color="000000"/>
              <w:left w:val="single" w:sz="4" w:space="0" w:color="000000"/>
              <w:right w:val="single" w:sz="4" w:space="0" w:color="000000"/>
            </w:tcBorders>
            <w:shd w:val="clear" w:color="auto" w:fill="D9D9D9"/>
            <w:vAlign w:val="center"/>
          </w:tcPr>
          <w:p w14:paraId="0D16E8C6" w14:textId="77777777" w:rsidR="00076856" w:rsidRPr="00A54222" w:rsidRDefault="00DE4299" w:rsidP="00756C58">
            <w:pPr>
              <w:spacing w:line="360" w:lineRule="auto"/>
              <w:jc w:val="right"/>
              <w:rPr>
                <w:rFonts w:ascii="Arial" w:eastAsia="Arial" w:hAnsi="Arial" w:cs="Arial"/>
                <w:sz w:val="20"/>
                <w:szCs w:val="20"/>
              </w:rPr>
            </w:pPr>
            <w:r w:rsidRPr="00A54222">
              <w:rPr>
                <w:rFonts w:ascii="Arial" w:eastAsia="Arial" w:hAnsi="Arial" w:cs="Arial"/>
                <w:sz w:val="20"/>
                <w:szCs w:val="20"/>
              </w:rPr>
              <w:t>442</w:t>
            </w:r>
          </w:p>
        </w:tc>
        <w:tc>
          <w:tcPr>
            <w:tcW w:w="1221" w:type="dxa"/>
            <w:tcBorders>
              <w:top w:val="single" w:sz="12" w:space="0" w:color="000000"/>
              <w:left w:val="single" w:sz="4" w:space="0" w:color="000000"/>
              <w:right w:val="single" w:sz="4" w:space="0" w:color="000000"/>
            </w:tcBorders>
            <w:shd w:val="clear" w:color="auto" w:fill="D9D9D9"/>
            <w:vAlign w:val="center"/>
          </w:tcPr>
          <w:p w14:paraId="42EC9A98" w14:textId="77777777" w:rsidR="00076856" w:rsidRPr="00A54222" w:rsidRDefault="00DE4299" w:rsidP="00756C58">
            <w:pPr>
              <w:spacing w:line="360" w:lineRule="auto"/>
              <w:jc w:val="right"/>
              <w:rPr>
                <w:rFonts w:ascii="Arial" w:eastAsia="Arial" w:hAnsi="Arial" w:cs="Arial"/>
                <w:sz w:val="20"/>
                <w:szCs w:val="20"/>
              </w:rPr>
            </w:pPr>
            <w:r w:rsidRPr="00A54222">
              <w:rPr>
                <w:rFonts w:ascii="Arial" w:eastAsia="Arial" w:hAnsi="Arial" w:cs="Arial"/>
                <w:sz w:val="20"/>
                <w:szCs w:val="20"/>
              </w:rPr>
              <w:t>109</w:t>
            </w:r>
          </w:p>
        </w:tc>
        <w:tc>
          <w:tcPr>
            <w:tcW w:w="1222" w:type="dxa"/>
            <w:tcBorders>
              <w:top w:val="single" w:sz="12" w:space="0" w:color="000000"/>
              <w:left w:val="single" w:sz="4" w:space="0" w:color="000000"/>
              <w:right w:val="single" w:sz="12" w:space="0" w:color="000000"/>
            </w:tcBorders>
            <w:shd w:val="clear" w:color="auto" w:fill="D9D9D9"/>
            <w:vAlign w:val="center"/>
          </w:tcPr>
          <w:p w14:paraId="09F38892" w14:textId="77777777" w:rsidR="00076856" w:rsidRPr="00A54222" w:rsidRDefault="00DE4299" w:rsidP="00756C58">
            <w:pPr>
              <w:spacing w:line="360" w:lineRule="auto"/>
              <w:jc w:val="right"/>
              <w:rPr>
                <w:rFonts w:ascii="Arial" w:eastAsia="Arial" w:hAnsi="Arial" w:cs="Arial"/>
                <w:sz w:val="20"/>
                <w:szCs w:val="20"/>
              </w:rPr>
            </w:pPr>
            <w:r w:rsidRPr="00A54222">
              <w:rPr>
                <w:rFonts w:ascii="Arial" w:eastAsia="Arial" w:hAnsi="Arial" w:cs="Arial"/>
                <w:sz w:val="20"/>
                <w:szCs w:val="20"/>
              </w:rPr>
              <w:t>872</w:t>
            </w:r>
          </w:p>
        </w:tc>
        <w:tc>
          <w:tcPr>
            <w:tcW w:w="1221" w:type="dxa"/>
            <w:tcBorders>
              <w:top w:val="single" w:sz="12" w:space="0" w:color="000000"/>
              <w:left w:val="single" w:sz="12" w:space="0" w:color="000000"/>
              <w:right w:val="single" w:sz="12" w:space="0" w:color="000000"/>
            </w:tcBorders>
            <w:shd w:val="clear" w:color="auto" w:fill="D9D9D9"/>
            <w:vAlign w:val="center"/>
          </w:tcPr>
          <w:p w14:paraId="5ECB0A3A" w14:textId="77777777" w:rsidR="00076856" w:rsidRPr="00A54222" w:rsidRDefault="00DE4299" w:rsidP="00756C58">
            <w:pPr>
              <w:spacing w:line="360" w:lineRule="auto"/>
              <w:jc w:val="right"/>
              <w:rPr>
                <w:rFonts w:ascii="Arial" w:eastAsia="Arial" w:hAnsi="Arial" w:cs="Arial"/>
                <w:sz w:val="20"/>
                <w:szCs w:val="20"/>
              </w:rPr>
            </w:pPr>
            <w:r w:rsidRPr="00A54222">
              <w:rPr>
                <w:rFonts w:ascii="Arial" w:eastAsia="Arial" w:hAnsi="Arial" w:cs="Arial"/>
                <w:sz w:val="20"/>
                <w:szCs w:val="20"/>
              </w:rPr>
              <w:t>1423</w:t>
            </w:r>
          </w:p>
        </w:tc>
      </w:tr>
      <w:tr w:rsidR="00076856" w:rsidRPr="00A54222" w14:paraId="0AFC6005" w14:textId="77777777" w:rsidTr="006D15B2">
        <w:trPr>
          <w:trHeight w:val="135"/>
        </w:trPr>
        <w:tc>
          <w:tcPr>
            <w:tcW w:w="2887" w:type="dxa"/>
            <w:vMerge/>
            <w:tcBorders>
              <w:top w:val="single" w:sz="12" w:space="0" w:color="000000"/>
              <w:left w:val="single" w:sz="12" w:space="0" w:color="000000"/>
              <w:right w:val="single" w:sz="4" w:space="0" w:color="000000"/>
            </w:tcBorders>
            <w:shd w:val="clear" w:color="auto" w:fill="D9D9D9"/>
            <w:vAlign w:val="center"/>
          </w:tcPr>
          <w:p w14:paraId="6E73F681" w14:textId="77777777" w:rsidR="00076856" w:rsidRPr="00A54222" w:rsidRDefault="00076856" w:rsidP="00756C58">
            <w:pPr>
              <w:widowControl w:val="0"/>
              <w:pBdr>
                <w:top w:val="nil"/>
                <w:left w:val="nil"/>
                <w:bottom w:val="nil"/>
                <w:right w:val="nil"/>
                <w:between w:val="nil"/>
              </w:pBdr>
              <w:spacing w:line="360" w:lineRule="auto"/>
              <w:rPr>
                <w:rFonts w:ascii="Arial" w:eastAsia="Arial" w:hAnsi="Arial" w:cs="Arial"/>
                <w:sz w:val="20"/>
                <w:szCs w:val="20"/>
              </w:rPr>
            </w:pPr>
          </w:p>
        </w:tc>
        <w:tc>
          <w:tcPr>
            <w:tcW w:w="1527" w:type="dxa"/>
            <w:tcBorders>
              <w:top w:val="single" w:sz="4" w:space="0" w:color="000000"/>
              <w:left w:val="single" w:sz="4" w:space="0" w:color="000000"/>
              <w:bottom w:val="single" w:sz="12" w:space="0" w:color="000000"/>
              <w:right w:val="single" w:sz="4" w:space="0" w:color="000000"/>
            </w:tcBorders>
            <w:shd w:val="clear" w:color="auto" w:fill="D9D9D9"/>
            <w:vAlign w:val="center"/>
          </w:tcPr>
          <w:p w14:paraId="71C49F48" w14:textId="77777777" w:rsidR="00076856" w:rsidRPr="00A54222" w:rsidRDefault="00DE4299" w:rsidP="00756C58">
            <w:pPr>
              <w:spacing w:line="360" w:lineRule="auto"/>
              <w:rPr>
                <w:rFonts w:ascii="Arial" w:eastAsia="Arial" w:hAnsi="Arial" w:cs="Arial"/>
                <w:sz w:val="20"/>
                <w:szCs w:val="20"/>
              </w:rPr>
            </w:pPr>
            <w:r w:rsidRPr="00A54222">
              <w:rPr>
                <w:rFonts w:ascii="Arial" w:eastAsia="Arial" w:hAnsi="Arial" w:cs="Arial"/>
                <w:sz w:val="20"/>
                <w:szCs w:val="20"/>
              </w:rPr>
              <w:t>Postotak (%)</w:t>
            </w:r>
          </w:p>
        </w:tc>
        <w:tc>
          <w:tcPr>
            <w:tcW w:w="1221" w:type="dxa"/>
            <w:tcBorders>
              <w:left w:val="single" w:sz="4" w:space="0" w:color="000000"/>
              <w:bottom w:val="single" w:sz="12" w:space="0" w:color="000000"/>
              <w:right w:val="single" w:sz="4" w:space="0" w:color="000000"/>
            </w:tcBorders>
            <w:shd w:val="clear" w:color="auto" w:fill="D9D9D9"/>
            <w:vAlign w:val="center"/>
          </w:tcPr>
          <w:p w14:paraId="1F1F8711" w14:textId="77777777" w:rsidR="00076856" w:rsidRPr="00A54222" w:rsidRDefault="00DE4299" w:rsidP="00756C58">
            <w:pPr>
              <w:spacing w:line="360" w:lineRule="auto"/>
              <w:jc w:val="right"/>
              <w:rPr>
                <w:rFonts w:ascii="Arial" w:eastAsia="Arial" w:hAnsi="Arial" w:cs="Arial"/>
                <w:sz w:val="20"/>
                <w:szCs w:val="20"/>
              </w:rPr>
            </w:pPr>
            <w:r w:rsidRPr="00A54222">
              <w:rPr>
                <w:rFonts w:ascii="Arial" w:eastAsia="Arial" w:hAnsi="Arial" w:cs="Arial"/>
                <w:sz w:val="20"/>
                <w:szCs w:val="20"/>
              </w:rPr>
              <w:t>100,0%</w:t>
            </w:r>
          </w:p>
        </w:tc>
        <w:tc>
          <w:tcPr>
            <w:tcW w:w="1221" w:type="dxa"/>
            <w:tcBorders>
              <w:left w:val="single" w:sz="4" w:space="0" w:color="000000"/>
              <w:bottom w:val="single" w:sz="12" w:space="0" w:color="000000"/>
              <w:right w:val="single" w:sz="4" w:space="0" w:color="000000"/>
            </w:tcBorders>
            <w:shd w:val="clear" w:color="auto" w:fill="D9D9D9"/>
            <w:vAlign w:val="center"/>
          </w:tcPr>
          <w:p w14:paraId="178D5F09" w14:textId="77777777" w:rsidR="00076856" w:rsidRPr="00A54222" w:rsidRDefault="00DE4299" w:rsidP="00756C58">
            <w:pPr>
              <w:spacing w:line="360" w:lineRule="auto"/>
              <w:jc w:val="right"/>
              <w:rPr>
                <w:rFonts w:ascii="Arial" w:eastAsia="Arial" w:hAnsi="Arial" w:cs="Arial"/>
                <w:sz w:val="20"/>
                <w:szCs w:val="20"/>
              </w:rPr>
            </w:pPr>
            <w:r w:rsidRPr="00A54222">
              <w:rPr>
                <w:rFonts w:ascii="Arial" w:eastAsia="Arial" w:hAnsi="Arial" w:cs="Arial"/>
                <w:sz w:val="20"/>
                <w:szCs w:val="20"/>
              </w:rPr>
              <w:t>100,0%</w:t>
            </w:r>
          </w:p>
        </w:tc>
        <w:tc>
          <w:tcPr>
            <w:tcW w:w="1222" w:type="dxa"/>
            <w:tcBorders>
              <w:left w:val="single" w:sz="4" w:space="0" w:color="000000"/>
              <w:bottom w:val="single" w:sz="12" w:space="0" w:color="000000"/>
              <w:right w:val="single" w:sz="12" w:space="0" w:color="000000"/>
            </w:tcBorders>
            <w:shd w:val="clear" w:color="auto" w:fill="D9D9D9"/>
            <w:vAlign w:val="center"/>
          </w:tcPr>
          <w:p w14:paraId="2583972A" w14:textId="77777777" w:rsidR="00076856" w:rsidRPr="00A54222" w:rsidRDefault="00DE4299" w:rsidP="00756C58">
            <w:pPr>
              <w:spacing w:line="360" w:lineRule="auto"/>
              <w:jc w:val="right"/>
              <w:rPr>
                <w:rFonts w:ascii="Arial" w:eastAsia="Arial" w:hAnsi="Arial" w:cs="Arial"/>
                <w:sz w:val="20"/>
                <w:szCs w:val="20"/>
              </w:rPr>
            </w:pPr>
            <w:r w:rsidRPr="00A54222">
              <w:rPr>
                <w:rFonts w:ascii="Arial" w:eastAsia="Arial" w:hAnsi="Arial" w:cs="Arial"/>
                <w:sz w:val="20"/>
                <w:szCs w:val="20"/>
              </w:rPr>
              <w:t>100,0%</w:t>
            </w:r>
          </w:p>
        </w:tc>
        <w:tc>
          <w:tcPr>
            <w:tcW w:w="1221" w:type="dxa"/>
            <w:tcBorders>
              <w:left w:val="single" w:sz="12" w:space="0" w:color="000000"/>
              <w:bottom w:val="single" w:sz="12" w:space="0" w:color="000000"/>
              <w:right w:val="single" w:sz="12" w:space="0" w:color="000000"/>
            </w:tcBorders>
            <w:shd w:val="clear" w:color="auto" w:fill="D9D9D9"/>
            <w:vAlign w:val="center"/>
          </w:tcPr>
          <w:p w14:paraId="444AF741" w14:textId="77777777" w:rsidR="00076856" w:rsidRPr="00A54222" w:rsidRDefault="00DE4299" w:rsidP="00756C58">
            <w:pPr>
              <w:spacing w:line="360" w:lineRule="auto"/>
              <w:jc w:val="right"/>
              <w:rPr>
                <w:rFonts w:ascii="Arial" w:eastAsia="Arial" w:hAnsi="Arial" w:cs="Arial"/>
                <w:sz w:val="20"/>
                <w:szCs w:val="20"/>
              </w:rPr>
            </w:pPr>
            <w:r w:rsidRPr="00A54222">
              <w:rPr>
                <w:rFonts w:ascii="Arial" w:eastAsia="Arial" w:hAnsi="Arial" w:cs="Arial"/>
                <w:sz w:val="20"/>
                <w:szCs w:val="20"/>
              </w:rPr>
              <w:t>100,0%</w:t>
            </w:r>
          </w:p>
        </w:tc>
      </w:tr>
    </w:tbl>
    <w:p w14:paraId="0EFC4668" w14:textId="77777777" w:rsidR="00076856" w:rsidRDefault="00076856" w:rsidP="00756C58">
      <w:pPr>
        <w:spacing w:before="240" w:after="240" w:line="360" w:lineRule="auto"/>
        <w:ind w:left="1440" w:hanging="1440"/>
        <w:rPr>
          <w:rFonts w:ascii="Arial" w:eastAsia="Arial" w:hAnsi="Arial" w:cs="Arial"/>
        </w:rPr>
      </w:pPr>
    </w:p>
    <w:p w14:paraId="7F25CC29" w14:textId="77777777" w:rsidR="00076856" w:rsidRDefault="00076856" w:rsidP="00756C58">
      <w:pPr>
        <w:spacing w:before="240" w:after="240" w:line="360" w:lineRule="auto"/>
        <w:rPr>
          <w:rFonts w:ascii="Arial" w:eastAsia="Arial" w:hAnsi="Arial" w:cs="Arial"/>
        </w:rPr>
      </w:pPr>
    </w:p>
    <w:p w14:paraId="68162C90" w14:textId="77777777" w:rsidR="00076856" w:rsidRDefault="00076856" w:rsidP="00756C58">
      <w:pPr>
        <w:spacing w:before="240" w:after="240" w:line="360" w:lineRule="auto"/>
        <w:rPr>
          <w:rFonts w:ascii="Arial" w:eastAsia="Arial" w:hAnsi="Arial" w:cs="Arial"/>
          <w:b/>
        </w:rPr>
      </w:pPr>
    </w:p>
    <w:p w14:paraId="35B89144" w14:textId="77777777" w:rsidR="00076856" w:rsidRDefault="00DE4299" w:rsidP="00756C58">
      <w:pPr>
        <w:spacing w:before="240" w:after="240" w:line="360" w:lineRule="auto"/>
        <w:jc w:val="center"/>
        <w:rPr>
          <w:rFonts w:ascii="Arial" w:eastAsia="Arial" w:hAnsi="Arial" w:cs="Arial"/>
          <w:b/>
        </w:rPr>
      </w:pPr>
      <w:r>
        <w:rPr>
          <w:rFonts w:ascii="Arial" w:eastAsia="Arial" w:hAnsi="Arial" w:cs="Arial"/>
          <w:b/>
          <w:noProof/>
        </w:rPr>
        <w:drawing>
          <wp:inline distT="114300" distB="114300" distL="114300" distR="114300" wp14:anchorId="62B8FC8A" wp14:editId="6DBD13BF">
            <wp:extent cx="5129213" cy="3461821"/>
            <wp:effectExtent l="0" t="0" r="0" b="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l="7506" t="14402" r="43121" b="26358"/>
                    <a:stretch>
                      <a:fillRect/>
                    </a:stretch>
                  </pic:blipFill>
                  <pic:spPr>
                    <a:xfrm>
                      <a:off x="0" y="0"/>
                      <a:ext cx="5129213" cy="3461821"/>
                    </a:xfrm>
                    <a:prstGeom prst="rect">
                      <a:avLst/>
                    </a:prstGeom>
                    <a:ln/>
                  </pic:spPr>
                </pic:pic>
              </a:graphicData>
            </a:graphic>
          </wp:inline>
        </w:drawing>
      </w:r>
    </w:p>
    <w:p w14:paraId="04A9A856" w14:textId="77777777" w:rsidR="00076856" w:rsidRPr="006D15B2" w:rsidRDefault="00DE4299" w:rsidP="00756C58">
      <w:pPr>
        <w:spacing w:before="240" w:after="240" w:line="360" w:lineRule="auto"/>
        <w:ind w:left="2160" w:hanging="2160"/>
        <w:rPr>
          <w:rFonts w:ascii="Arial" w:eastAsia="Arial" w:hAnsi="Arial" w:cs="Arial"/>
          <w:i/>
          <w:sz w:val="20"/>
        </w:rPr>
      </w:pPr>
      <w:r w:rsidRPr="006D15B2">
        <w:rPr>
          <w:rFonts w:ascii="Arial" w:eastAsia="Arial" w:hAnsi="Arial" w:cs="Arial"/>
          <w:b/>
          <w:i/>
          <w:sz w:val="20"/>
        </w:rPr>
        <w:t xml:space="preserve">Grafički prikaz 5. </w:t>
      </w:r>
      <w:r w:rsidRPr="006D15B2">
        <w:rPr>
          <w:rFonts w:ascii="Arial" w:eastAsia="Arial" w:hAnsi="Arial" w:cs="Arial"/>
          <w:b/>
          <w:i/>
          <w:sz w:val="20"/>
        </w:rPr>
        <w:tab/>
      </w:r>
      <w:r w:rsidRPr="006D15B2">
        <w:rPr>
          <w:rFonts w:ascii="Arial" w:eastAsia="Arial" w:hAnsi="Arial" w:cs="Arial"/>
          <w:i/>
          <w:sz w:val="20"/>
        </w:rPr>
        <w:t>Raspodjela odgovora na pitanje o prihvaćanju ponuđenog lijeka prema spolu.</w:t>
      </w:r>
    </w:p>
    <w:p w14:paraId="7BAB9B6B" w14:textId="77777777" w:rsidR="00076856" w:rsidRDefault="00076856" w:rsidP="00756C58">
      <w:pPr>
        <w:spacing w:before="240" w:after="240" w:line="360" w:lineRule="auto"/>
        <w:rPr>
          <w:rFonts w:ascii="Arial" w:eastAsia="Arial" w:hAnsi="Arial" w:cs="Arial"/>
          <w:b/>
          <w:i/>
        </w:rPr>
      </w:pPr>
    </w:p>
    <w:p w14:paraId="01765036" w14:textId="77777777" w:rsidR="00076856" w:rsidRPr="0075286B" w:rsidRDefault="00DE4299" w:rsidP="00756C58">
      <w:pPr>
        <w:pStyle w:val="Heading1"/>
        <w:spacing w:line="360" w:lineRule="auto"/>
        <w:rPr>
          <w:rFonts w:ascii="Arial" w:hAnsi="Arial" w:cs="Arial"/>
          <w:sz w:val="24"/>
          <w:szCs w:val="24"/>
        </w:rPr>
      </w:pPr>
      <w:bookmarkStart w:id="34" w:name="_heading=h.ojxb2ltcciwf" w:colFirst="0" w:colLast="0"/>
      <w:bookmarkStart w:id="35" w:name="_Toc75635809"/>
      <w:bookmarkEnd w:id="34"/>
      <w:r w:rsidRPr="0075286B">
        <w:rPr>
          <w:rFonts w:ascii="Arial" w:hAnsi="Arial" w:cs="Arial"/>
          <w:sz w:val="24"/>
          <w:szCs w:val="24"/>
        </w:rPr>
        <w:t>6. RASPRAVA</w:t>
      </w:r>
      <w:bookmarkEnd w:id="35"/>
    </w:p>
    <w:p w14:paraId="32EFD04E" w14:textId="77777777" w:rsidR="00076856" w:rsidRPr="0075286B" w:rsidRDefault="00DE4299" w:rsidP="00756C58">
      <w:pPr>
        <w:pStyle w:val="Heading2"/>
        <w:numPr>
          <w:ilvl w:val="1"/>
          <w:numId w:val="4"/>
        </w:numPr>
        <w:spacing w:line="360" w:lineRule="auto"/>
        <w:ind w:firstLine="0"/>
        <w:rPr>
          <w:rFonts w:ascii="Arial" w:eastAsia="Arial" w:hAnsi="Arial" w:cs="Arial"/>
          <w:sz w:val="24"/>
          <w:szCs w:val="24"/>
        </w:rPr>
      </w:pPr>
      <w:bookmarkStart w:id="36" w:name="_heading=h.nqy77lrt2l2g" w:colFirst="0" w:colLast="0"/>
      <w:bookmarkStart w:id="37" w:name="_Toc75635810"/>
      <w:bookmarkEnd w:id="36"/>
      <w:r w:rsidRPr="0075286B">
        <w:rPr>
          <w:rFonts w:ascii="Arial" w:eastAsia="Arial" w:hAnsi="Arial" w:cs="Arial"/>
          <w:sz w:val="24"/>
          <w:szCs w:val="24"/>
        </w:rPr>
        <w:t>Utjecaj spola na ponašanja vezana uz pušenje</w:t>
      </w:r>
      <w:bookmarkEnd w:id="37"/>
    </w:p>
    <w:p w14:paraId="35170C04" w14:textId="537085C5" w:rsidR="00076856" w:rsidRPr="006D15B2" w:rsidRDefault="00DE4299" w:rsidP="00756C58">
      <w:pPr>
        <w:pBdr>
          <w:top w:val="nil"/>
          <w:left w:val="nil"/>
          <w:bottom w:val="nil"/>
          <w:right w:val="nil"/>
          <w:between w:val="nil"/>
        </w:pBdr>
        <w:spacing w:line="360" w:lineRule="auto"/>
        <w:jc w:val="both"/>
        <w:rPr>
          <w:rFonts w:ascii="Arial" w:eastAsia="Arial" w:hAnsi="Arial" w:cs="Arial"/>
          <w:sz w:val="20"/>
        </w:rPr>
      </w:pPr>
      <w:r w:rsidRPr="006D15B2">
        <w:rPr>
          <w:rFonts w:ascii="Arial" w:eastAsia="Arial" w:hAnsi="Arial" w:cs="Arial"/>
          <w:sz w:val="20"/>
        </w:rPr>
        <w:t>Rezultati istraživanja pokazuju da spol nema statistički značajan utjecaj na ukupan rezultat u Fagerströmovom testu, odnosno razinu ovisnosti o nikotinu. Nisu uočene niti razlike u pojedinim ponašanjima koja određuju razinu ovisnosti, osim u trećem pitanju unutar testa (</w:t>
      </w:r>
      <w:r w:rsidRPr="006D15B2">
        <w:rPr>
          <w:rFonts w:ascii="Arial" w:eastAsia="Arial" w:hAnsi="Arial" w:cs="Arial"/>
          <w:i/>
          <w:sz w:val="20"/>
        </w:rPr>
        <w:t>“Koje biste se cigarete najteže odrekli?”</w:t>
      </w:r>
      <w:r w:rsidRPr="006D15B2">
        <w:rPr>
          <w:rFonts w:ascii="Arial" w:eastAsia="Arial" w:hAnsi="Arial" w:cs="Arial"/>
          <w:sz w:val="20"/>
        </w:rPr>
        <w:t>). Studentice su pokazale manje rizično ponašanje budući da u manjem postotku smatraju kako bi se teže odrekle prve jutarnje cigarete. Posebno se ističe činjenica da nema zamijećene značajne razlike u ukupnom broju popušenih cigareta među spolovima, što je suprotno široko rasprostranjenom mišljenju i ranije objavljenim istraživanjima</w:t>
      </w:r>
      <w:r w:rsidR="000316ED">
        <w:rPr>
          <w:rFonts w:ascii="Arial" w:eastAsia="Arial" w:hAnsi="Arial" w:cs="Arial"/>
          <w:sz w:val="20"/>
        </w:rPr>
        <w:t xml:space="preserve"> </w:t>
      </w:r>
      <w:r w:rsidR="000316ED">
        <w:rPr>
          <w:rFonts w:ascii="Arial" w:eastAsia="Arial" w:hAnsi="Arial" w:cs="Arial"/>
          <w:sz w:val="20"/>
        </w:rPr>
        <w:fldChar w:fldCharType="begin" w:fldLock="1"/>
      </w:r>
      <w:r w:rsidR="007508FC">
        <w:rPr>
          <w:rFonts w:ascii="Arial" w:eastAsia="Arial" w:hAnsi="Arial" w:cs="Arial"/>
          <w:sz w:val="20"/>
        </w:rPr>
        <w:instrText xml:space="preserve"> ADDIN ZOTERO_ITEM CSL_CITATION {"citationID":"dH20AQ9i","properties":{"formattedCitation":"(25)","plainCitation":"(25)","noteIndex":0},"citationItems":[{"id":"YlNUCLkK/8487hQlH","uris":["http://www.mendeley.com/documents/?uuid=86bfd7c6-f145-3aa6-8725-b250e1caf90d"],"uri":["http://www.mendeley.com/documents/?uuid=86bfd7c6-f145-3aa6-8725-b250e1caf90d"],"itemData":{"DOI":"10.2466/pr0.1998.83.3f.1455","ISSN":"1558691X","PMID":"10079737","abstract":"The Fagerström Test for Nicotine Dependence was developed to improve the reliability and validity of the Fagerström Tolerance Questionnaire. In this study, we examined the applicability of the Spanish version of such test as well as its relationship to sex, age, and consumption of cigarettes, in a representative sample of smokers from Galicia, Spain (N = 646).","author":[{"dropping-particle":"","family":"Becoña","given":"Elisardo","non-dropping-particle":"","parse-names":false,"suffix":""},{"dropping-particle":"","family":"Vázquez","given":"Fernando L.","non-dropping-particle":"","parse-names":false,"suffix":""}],"container-title":"Psychological Reports","id":"ITEM-1","issue":"3 PART 2","issued":{"date-parts":[["1998","9","1"]]},"page":"1455-1458","publisher":"Ammons Scientific Ltd","title":"The Fagerström Test for Nicotine Dependence in a Spanish sample","type":"article-journal","volume":"83"}}],"schema":"https://github.com/citation-style-language/schema/raw/master/csl-citation.json"} </w:instrText>
      </w:r>
      <w:r w:rsidR="000316ED">
        <w:rPr>
          <w:rFonts w:ascii="Arial" w:eastAsia="Arial" w:hAnsi="Arial" w:cs="Arial"/>
          <w:sz w:val="20"/>
        </w:rPr>
        <w:fldChar w:fldCharType="separate"/>
      </w:r>
      <w:r w:rsidR="007508FC" w:rsidRPr="007508FC">
        <w:rPr>
          <w:rFonts w:ascii="Arial" w:hAnsi="Arial" w:cs="Arial"/>
          <w:sz w:val="20"/>
        </w:rPr>
        <w:t>(25)</w:t>
      </w:r>
      <w:r w:rsidR="000316ED">
        <w:rPr>
          <w:rFonts w:ascii="Arial" w:eastAsia="Arial" w:hAnsi="Arial" w:cs="Arial"/>
          <w:sz w:val="20"/>
        </w:rPr>
        <w:fldChar w:fldCharType="end"/>
      </w:r>
      <w:r w:rsidRPr="006D15B2">
        <w:rPr>
          <w:rFonts w:ascii="Arial" w:eastAsia="Arial" w:hAnsi="Arial" w:cs="Arial"/>
          <w:sz w:val="20"/>
        </w:rPr>
        <w:t>,</w:t>
      </w:r>
      <w:r w:rsidR="000316ED">
        <w:rPr>
          <w:rFonts w:ascii="Arial" w:eastAsia="Arial" w:hAnsi="Arial" w:cs="Arial"/>
          <w:sz w:val="20"/>
        </w:rPr>
        <w:t xml:space="preserve"> </w:t>
      </w:r>
      <w:r w:rsidR="000316ED">
        <w:rPr>
          <w:rFonts w:ascii="Arial" w:eastAsia="Arial" w:hAnsi="Arial" w:cs="Arial"/>
          <w:sz w:val="20"/>
        </w:rPr>
        <w:fldChar w:fldCharType="begin" w:fldLock="1"/>
      </w:r>
      <w:r w:rsidR="007508FC">
        <w:rPr>
          <w:rFonts w:ascii="Arial" w:eastAsia="Arial" w:hAnsi="Arial" w:cs="Arial"/>
          <w:sz w:val="20"/>
        </w:rPr>
        <w:instrText xml:space="preserve"> ADDIN ZOTERO_ITEM CSL_CITATION {"citationID":"PnDnVW1u","properties":{"formattedCitation":"(26)","plainCitation":"(26)","noteIndex":0},"citationItems":[{"id":"YlNUCLkK/XRELXrY5","uris":["http://www.mendeley.com/documents/?uuid=7136f2c0-1406-3455-9699-24f51c978971"],"uri":["http://www.mendeley.com/documents/?uuid=7136f2c0-1406-3455-9699-24f51c978971"],"itemData":{"DOI":"10.1016/j.jiph.2010.10.003","ISSN":"18760341","PMID":"21126722","abstract":"The main objectives of this paper were to estimate the consumption patterns of tobacco use among King Saud University (KSU) undergraduate students; and investigate different risk factors which may contribute to tobacco use among female students. A representative sample (n= 7550) of the total KSU undergraduate student population of 69,498 (males and females) was selected, stratified according to college and gender. A modified version of the WHO/CDC Global Youth Tobacco Survey (GYTS) questionnaire was used for data collection. Overall smoking prevalence among KSU students was estimated at 14.5%, prevalence among male students (32.7%), and females (5.9%). Independent risk factors for smoking among males were found to be: age, father's smoking habits, and \"friends' smoking habits\" while among females were: sister's smoking habits and \"friends' smoking habits.\" The findings of this study re-emphasize the significance of peer pressure on smoking among university students of both sexes; influence of family members, usually of same sex. We need to foster gender-sensitive tobacco prevention intervention programs, to prevent youngsters of both sexes from taking up such habit. We also need to raise awareness of girls and young women, of the consequences of smoking in general, water-pipe in specific, on their own health, that of their spouses, families, and off-springs, many of whom could develop chronic respiratory disorders, as passive smokers in the beginning/potential smokers themselves, later on. All such efforts should be backed and supported by strong governmental commitment, to ensure success of their implementation accordingly. © 2010.","author":[{"dropping-particle":"","family":"Mandil","given":"Ahmed","non-dropping-particle":"","parse-names":false,"suffix":""},{"dropping-particle":"","family":"BinSaeed","given":"Abdulaziz","non-dropping-particle":"","parse-names":false,"suffix":""},{"dropping-particle":"","family":"Ahmad","given":"Shaffi","non-dropping-particle":"","parse-names":false,"suffix":""},{"dropping-particle":"","family":"Al-Dabbagh","given":"Rufaidah","non-dropping-particle":"","parse-names":false,"suffix":""},{"dropping-particle":"","family":"Alsaadi","given":"Muslim","non-dropping-particle":"","parse-names":false,"suffix":""},{"dropping-particle":"","family":"Khan","given":"Mahwish","non-dropping-particle":"","parse-names":false,"suffix":""}],"container-title":"Journal of Infection and Public Health","id":"ITEM-1","issue":"4","issued":{"date-parts":[["2010","12","1"]]},"page":"179-187","publisher":"Elsevier","title":"Smoking among university students: A gender analysis","type":"article-journal","volume":"3"}}],"schema":"https://github.com/citation-style-language/schema/raw/master/csl-citation.json"} </w:instrText>
      </w:r>
      <w:r w:rsidR="000316ED">
        <w:rPr>
          <w:rFonts w:ascii="Arial" w:eastAsia="Arial" w:hAnsi="Arial" w:cs="Arial"/>
          <w:sz w:val="20"/>
        </w:rPr>
        <w:fldChar w:fldCharType="separate"/>
      </w:r>
      <w:r w:rsidR="007508FC" w:rsidRPr="007508FC">
        <w:rPr>
          <w:rFonts w:ascii="Arial" w:hAnsi="Arial" w:cs="Arial"/>
          <w:sz w:val="20"/>
        </w:rPr>
        <w:t>(26)</w:t>
      </w:r>
      <w:r w:rsidR="000316ED">
        <w:rPr>
          <w:rFonts w:ascii="Arial" w:eastAsia="Arial" w:hAnsi="Arial" w:cs="Arial"/>
          <w:sz w:val="20"/>
        </w:rPr>
        <w:fldChar w:fldCharType="end"/>
      </w:r>
      <w:r w:rsidRPr="006D15B2">
        <w:rPr>
          <w:rFonts w:ascii="Arial" w:eastAsia="Arial" w:hAnsi="Arial" w:cs="Arial"/>
          <w:sz w:val="20"/>
        </w:rPr>
        <w:t xml:space="preserve">. Prethodna istraživanja u Hrvatskoj pokazala su da je u adolescentskoj populaciji prevalencija pušenja kod dječaka 15,1%, a kod djevojčica 14,1% </w:t>
      </w:r>
      <w:r w:rsidR="00D416AD">
        <w:rPr>
          <w:rFonts w:ascii="Arial" w:eastAsia="Arial" w:hAnsi="Arial" w:cs="Arial"/>
          <w:sz w:val="20"/>
        </w:rPr>
        <w:fldChar w:fldCharType="begin" w:fldLock="1"/>
      </w:r>
      <w:r w:rsidR="00213163">
        <w:rPr>
          <w:rFonts w:ascii="Arial" w:eastAsia="Arial" w:hAnsi="Arial" w:cs="Arial"/>
          <w:sz w:val="20"/>
        </w:rPr>
        <w:instrText xml:space="preserve"> ADDIN ZOTERO_ITEM CSL_CITATION {"citationID":"RwmqUC1V","properties":{"formattedCitation":"(27)","plainCitation":"(27)","noteIndex":0},"citationItems":[{"id":419,"uris":["http://zotero.org/users/6243681/items/CKHZRQW4"],"uri":["http://zotero.org/users/6243681/items/CKHZRQW4"],"itemData":{"id":419,"type":"article-journal","language":"hr","page":"70","source":"Zotero","title":"SVJETSKO ISTRAŽIVANJE O UPORABI DUHANA U MLADIH","author":[{"family":"Mayer","given":"Dr Dijana"},{"family":"Šimetin","given":"Dr Ivana Pavić"},{"family":"Belavić","given":"Anja"},{"family":"Hemen","given":"Mario"}]}}],"schema":"https://github.com/citation-style-language/schema/raw/master/csl-citation.json"} </w:instrText>
      </w:r>
      <w:r w:rsidR="00D416AD">
        <w:rPr>
          <w:rFonts w:ascii="Arial" w:eastAsia="Arial" w:hAnsi="Arial" w:cs="Arial"/>
          <w:sz w:val="20"/>
        </w:rPr>
        <w:fldChar w:fldCharType="separate"/>
      </w:r>
      <w:r w:rsidR="00213163" w:rsidRPr="00213163">
        <w:rPr>
          <w:rFonts w:ascii="Arial" w:hAnsi="Arial" w:cs="Arial"/>
          <w:sz w:val="20"/>
        </w:rPr>
        <w:t>(27)</w:t>
      </w:r>
      <w:r w:rsidR="00D416AD">
        <w:rPr>
          <w:rFonts w:ascii="Arial" w:eastAsia="Arial" w:hAnsi="Arial" w:cs="Arial"/>
          <w:sz w:val="20"/>
        </w:rPr>
        <w:fldChar w:fldCharType="end"/>
      </w:r>
      <w:r w:rsidRPr="006D15B2">
        <w:rPr>
          <w:rFonts w:ascii="Arial" w:eastAsia="Arial" w:hAnsi="Arial" w:cs="Arial"/>
          <w:sz w:val="20"/>
        </w:rPr>
        <w:t xml:space="preserve">, dok u odrasloj populaciji puši 35,3% muškaraca i 27,1% žena </w:t>
      </w:r>
      <w:r w:rsidR="00D416AD">
        <w:rPr>
          <w:rFonts w:ascii="Arial" w:eastAsia="Arial" w:hAnsi="Arial" w:cs="Arial"/>
          <w:sz w:val="20"/>
        </w:rPr>
        <w:fldChar w:fldCharType="begin" w:fldLock="1"/>
      </w:r>
      <w:r w:rsidR="007508FC">
        <w:rPr>
          <w:rFonts w:ascii="Arial" w:eastAsia="Arial" w:hAnsi="Arial" w:cs="Arial"/>
          <w:sz w:val="20"/>
        </w:rPr>
        <w:instrText xml:space="preserve"> ADDIN ZOTERO_ITEM CSL_CITATION {"citationID":"DmMlJFmc","properties":{"formattedCitation":"(9)","plainCitation":"(9)","noteIndex":0},"citationItems":[{"id":"YlNUCLkK/JetiztP2","uris":["http://www.mendeley.com/documents/?uuid=f1ae2ed8-d25c-4874-87c0-e6b8ec8b80cb"],"uri":["http://www.mendeley.com/documents/?uuid=f1ae2ed8-d25c-4874-87c0-e6b8ec8b80cb"],"itemData":{"author":[{"dropping-particle":"","family":"Questions","given":"Tobacco","non-dropping-particle":"","parse-names":false,"suffix":""}],"id":"ITEM-1","issued":{"date-parts":[["0"]]},"title":"Istraživanje O Uporabi","type":"article-journal"}}],"schema":"https://github.com/citation-style-language/schema/raw/master/csl-citation.json"} </w:instrText>
      </w:r>
      <w:r w:rsidR="00D416AD">
        <w:rPr>
          <w:rFonts w:ascii="Arial" w:eastAsia="Arial" w:hAnsi="Arial" w:cs="Arial"/>
          <w:sz w:val="20"/>
        </w:rPr>
        <w:fldChar w:fldCharType="separate"/>
      </w:r>
      <w:r w:rsidR="007508FC" w:rsidRPr="007508FC">
        <w:rPr>
          <w:rFonts w:ascii="Arial" w:hAnsi="Arial" w:cs="Arial"/>
          <w:sz w:val="20"/>
        </w:rPr>
        <w:t>(9)</w:t>
      </w:r>
      <w:r w:rsidR="00D416AD">
        <w:rPr>
          <w:rFonts w:ascii="Arial" w:eastAsia="Arial" w:hAnsi="Arial" w:cs="Arial"/>
          <w:sz w:val="20"/>
        </w:rPr>
        <w:fldChar w:fldCharType="end"/>
      </w:r>
      <w:r w:rsidRPr="006D15B2">
        <w:rPr>
          <w:rFonts w:ascii="Arial" w:eastAsia="Arial" w:hAnsi="Arial" w:cs="Arial"/>
          <w:sz w:val="20"/>
        </w:rPr>
        <w:t>.</w:t>
      </w:r>
    </w:p>
    <w:p w14:paraId="5034C5F7" w14:textId="5596928B" w:rsidR="00076856" w:rsidRDefault="00DE4299" w:rsidP="00756C58">
      <w:pPr>
        <w:pBdr>
          <w:top w:val="nil"/>
          <w:left w:val="nil"/>
          <w:bottom w:val="nil"/>
          <w:right w:val="nil"/>
          <w:between w:val="nil"/>
        </w:pBdr>
        <w:spacing w:line="360" w:lineRule="auto"/>
        <w:jc w:val="both"/>
        <w:rPr>
          <w:rFonts w:ascii="Arial" w:eastAsia="Arial" w:hAnsi="Arial" w:cs="Arial"/>
        </w:rPr>
      </w:pPr>
      <w:r w:rsidRPr="006D15B2">
        <w:rPr>
          <w:rFonts w:ascii="Arial" w:eastAsia="Arial" w:hAnsi="Arial" w:cs="Arial"/>
          <w:sz w:val="20"/>
        </w:rPr>
        <w:lastRenderedPageBreak/>
        <w:t xml:space="preserve">Iako postoje neurofiziološke razlike u utjecaju nikotina i pušenja na mozak među spolovima, ove razlike ne upućuju na to da su žene manje ovisne o nikotinu od muškaraca </w:t>
      </w:r>
      <w:r w:rsidR="00D416AD">
        <w:rPr>
          <w:rFonts w:ascii="Arial" w:eastAsia="Arial" w:hAnsi="Arial" w:cs="Arial"/>
          <w:sz w:val="20"/>
        </w:rPr>
        <w:fldChar w:fldCharType="begin" w:fldLock="1"/>
      </w:r>
      <w:r w:rsidR="007508FC">
        <w:rPr>
          <w:rFonts w:ascii="Arial" w:eastAsia="Arial" w:hAnsi="Arial" w:cs="Arial"/>
          <w:sz w:val="20"/>
        </w:rPr>
        <w:instrText xml:space="preserve"> ADDIN ZOTERO_ITEM CSL_CITATION {"citationID":"d2Jq4Q1J","properties":{"formattedCitation":"(28)","plainCitation":"(28)","noteIndex":0},"citationItems":[{"id":"YlNUCLkK/Z0J45IXF","uris":["http://www.mendeley.com/documents/?uuid=8334a9e0-210b-4077-9481-db0f2c379d12"],"uri":["http://www.mendeley.com/documents/?uuid=8334a9e0-210b-4077-9481-db0f2c379d12"],"itemData":{"DOI":"10.1523/JNEUROSCI.3661-14.2014","ISSN":"15292401","PMID":"25505336","abstract":"Cigarette smoking is a major public health danger. Women and men smoke for different reasons and cessation treatments, such as the nicotine patch, are preferentially beneficial to men. The biological substrates of these sex differences are unknown. Earlier PET studies reported conflicting findings but were each hampered by experimental and/or analytical limitations. Our new image analysis technique, lp-ntPET (Normandin et al., 2012; Morris et al., 2013; Kim et al., 2014), has been optimized for capturing brief (lasting only minutes) and highly localized dopaminergic events in dynamic PET data. We coupled our analysis technique with high-resolution brain scanning and high-frequency motion correction to create the optimal experiment for capturing and characterizing the effects of smoking on the mesolimbic dopamine system in humans. Our main finding is that male smokers smoking in the PET scanner activate dopamine in the right ventral striatum during smoking but female smokers do not. This finding—men activating more ventrally than women—is consistent with the established notion that men smoke for the reinforcing drug effect of cigarettes whereas women smoke for other reasons, such as mood regulation and cue reactivity. lp-ntPET analysis produces a novel multidimensional endpoint: voxel-level temporal patterns of neurotransmitter release (“DA movies”) in individual subjects. By examining these endpoints quantitatively, we demonstrate that the timing of dopaminergic responses to cigarette smoking differs between men and women. Men respond consistently and rapidly in the ventral striatum whereas women respond faster in a discrete subregion of the dorsal putamen.","author":[{"dropping-particle":"","family":"Cosgrove","given":"Kelly P.","non-dropping-particle":"","parse-names":false,"suffix":""},{"dropping-particle":"","family":"Wang","given":"Shuo","non-dropping-particle":"","parse-names":false,"suffix":""},{"dropping-particle":"","family":"Kim","given":"Su Jin","non-dropping-particle":"","parse-names":false,"suffix":""},{"dropping-particle":"","family":"McGovern","given":"Erin","non-dropping-particle":"","parse-names":false,"suffix":""},{"dropping-particle":"","family":"Nabulsi","given":"Nabeel","non-dropping-particle":"","parse-names":false,"suffix":""},{"dropping-particle":"","family":"Gao","given":"Hong","non-dropping-particle":"","parse-names":false,"suffix":""},{"dropping-particle":"","family":"Labaree","given":"David","non-dropping-particle":"","parse-names":false,"suffix":""},{"dropping-particle":"","family":"Tagare","given":"Hemant D.","non-dropping-particle":"","parse-names":false,"suffix":""},{"dropping-particle":"","family":"Sullivan","given":"Jenna M.","non-dropping-particle":"","parse-names":false,"suffix":""},{"dropping-particle":"","family":"Morris","given":"Evan D.","non-dropping-particle":"","parse-names":false,"suffix":""}],"container-title":"Journal of Neuroscience","id":"ITEM-1","issue":"50","issued":{"date-parts":[["2014"]]},"page":"16851-16855","title":"Sex differences in the brain’s dopamine signature of cigarette smoking","type":"article-journal","volume":"34"}}],"schema":"https://github.com/citation-style-language/schema/raw/master/csl-citation.json"} </w:instrText>
      </w:r>
      <w:r w:rsidR="00D416AD">
        <w:rPr>
          <w:rFonts w:ascii="Arial" w:eastAsia="Arial" w:hAnsi="Arial" w:cs="Arial"/>
          <w:sz w:val="20"/>
        </w:rPr>
        <w:fldChar w:fldCharType="separate"/>
      </w:r>
      <w:r w:rsidR="007508FC" w:rsidRPr="007508FC">
        <w:rPr>
          <w:rFonts w:ascii="Arial" w:hAnsi="Arial" w:cs="Arial"/>
          <w:sz w:val="20"/>
        </w:rPr>
        <w:t>(28)</w:t>
      </w:r>
      <w:r w:rsidR="00D416AD">
        <w:rPr>
          <w:rFonts w:ascii="Arial" w:eastAsia="Arial" w:hAnsi="Arial" w:cs="Arial"/>
          <w:sz w:val="20"/>
        </w:rPr>
        <w:fldChar w:fldCharType="end"/>
      </w:r>
      <w:r w:rsidRPr="006D15B2">
        <w:rPr>
          <w:rFonts w:ascii="Arial" w:eastAsia="Arial" w:hAnsi="Arial" w:cs="Arial"/>
          <w:sz w:val="20"/>
        </w:rPr>
        <w:t>. Iz toga bi se moglo zaključiti da su razlike u stupnju ovisnosti među spolovima društveno uvjetovane.</w:t>
      </w:r>
      <w:r>
        <w:rPr>
          <w:rFonts w:ascii="Arial" w:eastAsia="Arial" w:hAnsi="Arial" w:cs="Arial"/>
        </w:rPr>
        <w:t xml:space="preserve"> </w:t>
      </w:r>
    </w:p>
    <w:p w14:paraId="139B6206" w14:textId="77777777" w:rsidR="00076856" w:rsidRPr="0075286B" w:rsidRDefault="00DE4299" w:rsidP="00756C58">
      <w:pPr>
        <w:pStyle w:val="Heading2"/>
        <w:numPr>
          <w:ilvl w:val="1"/>
          <w:numId w:val="4"/>
        </w:numPr>
        <w:spacing w:line="360" w:lineRule="auto"/>
        <w:ind w:firstLine="0"/>
        <w:rPr>
          <w:rFonts w:ascii="Arial" w:eastAsia="Arial" w:hAnsi="Arial" w:cs="Arial"/>
          <w:sz w:val="24"/>
          <w:szCs w:val="24"/>
        </w:rPr>
      </w:pPr>
      <w:bookmarkStart w:id="38" w:name="_heading=h.hs87q4p1g6o3" w:colFirst="0" w:colLast="0"/>
      <w:bookmarkStart w:id="39" w:name="_Toc75635811"/>
      <w:bookmarkEnd w:id="38"/>
      <w:r w:rsidRPr="0075286B">
        <w:rPr>
          <w:rFonts w:ascii="Arial" w:eastAsia="Arial" w:hAnsi="Arial" w:cs="Arial"/>
          <w:sz w:val="24"/>
          <w:szCs w:val="24"/>
        </w:rPr>
        <w:t>Razlike u ovisničkom ponašanju među studentima biomedicinskih, društveno-humanističkih  i umjetničkih  studija</w:t>
      </w:r>
      <w:bookmarkEnd w:id="39"/>
    </w:p>
    <w:p w14:paraId="4B0C2E56" w14:textId="3C5026FD" w:rsidR="00076856" w:rsidRPr="006D15B2" w:rsidRDefault="00DE4299" w:rsidP="00756C58">
      <w:pPr>
        <w:pBdr>
          <w:top w:val="nil"/>
          <w:left w:val="nil"/>
          <w:bottom w:val="nil"/>
          <w:right w:val="nil"/>
          <w:between w:val="nil"/>
        </w:pBdr>
        <w:spacing w:line="360" w:lineRule="auto"/>
        <w:jc w:val="both"/>
        <w:rPr>
          <w:rFonts w:ascii="Arial" w:eastAsia="Arial" w:hAnsi="Arial" w:cs="Arial"/>
          <w:sz w:val="20"/>
        </w:rPr>
      </w:pPr>
      <w:r w:rsidRPr="006D15B2">
        <w:rPr>
          <w:rFonts w:ascii="Arial" w:eastAsia="Arial" w:hAnsi="Arial" w:cs="Arial"/>
          <w:sz w:val="20"/>
        </w:rPr>
        <w:t xml:space="preserve">Studenti medicine pokazali su statistički manji ukupni stupanj ovisnosti  te manje rizična ponašanja vezana uz pitanja broj 1 </w:t>
      </w:r>
      <w:r w:rsidRPr="006D15B2">
        <w:rPr>
          <w:rFonts w:ascii="Arial" w:eastAsia="Arial" w:hAnsi="Arial" w:cs="Arial"/>
          <w:i/>
          <w:sz w:val="20"/>
        </w:rPr>
        <w:t>(“Koliko brzo nakon ustajanja popušite prvu jutarnju cigaretu?”)</w:t>
      </w:r>
      <w:r w:rsidRPr="006D15B2">
        <w:rPr>
          <w:rFonts w:ascii="Arial" w:eastAsia="Arial" w:hAnsi="Arial" w:cs="Arial"/>
          <w:sz w:val="20"/>
        </w:rPr>
        <w:t xml:space="preserve">, 3 </w:t>
      </w:r>
      <w:r w:rsidRPr="006D15B2">
        <w:rPr>
          <w:rFonts w:ascii="Arial" w:eastAsia="Arial" w:hAnsi="Arial" w:cs="Arial"/>
          <w:i/>
          <w:sz w:val="20"/>
        </w:rPr>
        <w:t>(“Koje biste se cigarete najteže odrekli?”)</w:t>
      </w:r>
      <w:r w:rsidRPr="006D15B2">
        <w:rPr>
          <w:rFonts w:ascii="Arial" w:eastAsia="Arial" w:hAnsi="Arial" w:cs="Arial"/>
          <w:sz w:val="20"/>
        </w:rPr>
        <w:t xml:space="preserve"> i 5 </w:t>
      </w:r>
      <w:r w:rsidRPr="006D15B2">
        <w:rPr>
          <w:rFonts w:ascii="Arial" w:eastAsia="Arial" w:hAnsi="Arial" w:cs="Arial"/>
          <w:i/>
          <w:sz w:val="20"/>
        </w:rPr>
        <w:t>(“Pušite li češće u jutarnjim satima?”)</w:t>
      </w:r>
      <w:r w:rsidRPr="006D15B2">
        <w:rPr>
          <w:rFonts w:ascii="Arial" w:eastAsia="Arial" w:hAnsi="Arial" w:cs="Arial"/>
          <w:sz w:val="20"/>
        </w:rPr>
        <w:t xml:space="preserve">. Ovaj rezultat slaže se s ranijim istraživanjima među studentima medicine u usporedbi sa studentima ne-medicinskih područja. U drugim istraživanjima pronađeno je da studenti 2. godine medicine u usporedbi sa studentima 2. godine ne-medicinskih područja imaju značajno veću količinu znanja o štetnosti pušenja i imaju jače stavove protiv pušenja kao prava pojedinca. Utvrđeno je da se znanje studenata medicine o štetnim učincima pušenja na zdravlje povećava s godinama studija </w:t>
      </w:r>
      <w:r w:rsidR="00D416AD">
        <w:rPr>
          <w:rFonts w:ascii="Arial" w:eastAsia="Arial" w:hAnsi="Arial" w:cs="Arial"/>
          <w:sz w:val="20"/>
        </w:rPr>
        <w:fldChar w:fldCharType="begin" w:fldLock="1"/>
      </w:r>
      <w:r w:rsidR="007508FC">
        <w:rPr>
          <w:rFonts w:ascii="Arial" w:eastAsia="Arial" w:hAnsi="Arial" w:cs="Arial"/>
          <w:sz w:val="20"/>
        </w:rPr>
        <w:instrText xml:space="preserve"> ADDIN ZOTERO_ITEM CSL_CITATION {"citationID":"ftMoetwl","properties":{"formattedCitation":"(29)","plainCitation":"(29)","noteIndex":0},"citationItems":[{"id":"YlNUCLkK/ke9NkJ85","uris":["http://www.mendeley.com/documents/?uuid=1eb7177b-eb81-4345-a05f-ed27b7bab900"],"uri":["http://www.mendeley.com/documents/?uuid=1eb7177b-eb81-4345-a05f-ed27b7bab900"],"itemData":{"DOI":"10.1007/s12529-010-9140-7","ISSN":"10705503","PMID":"21246317","abstract":"Background Previous studies in the world reported inconsistent results about the relationship of medical professional education with medical students' smoking behaviors, and no similar research had been published in China. Purpose This paper aims to explore whether the differences of smoking-related knowledge, attitudes, and behaviors existed between medical and non-medical undergraduate students. Methods Eight thousand one hundred thirty-eight undergraduate students sampled from a university in Guangzhou were investigated with a self-administered structured questionnaire about their smoking-related knowledge, attitude and behaviors, and other relevant factors. General linear model and multinomial logistic regression were conducted to test the differences in smoking-related knowledge, attitude, and behaviors between medical and non-medical students while controlling for potential confounding variables. Results There was no difference in smoking-related knowledge scores between medical and non-medical freshmen, but medical sophomores and juniors had higher scores of smoking-related knowledge than their non-medical counterparts. The medical sophomores had higher mean score of attitudes towards smoking than non-medical ones. Before entering university, the difference in the prevalence of experimental and regular smoking between medical and non-medical college students was not significant. After entering university, in contrast, the overall prevalence of regular smoking was significantly higher among male nonmedical college students than among male medical students. Stratified by current academic year, this difference was significant only among male sophomores. Conclusions Medical students have higher smoking-related knowledge, stronger anti-smoking attitude, and lower prevalence of regular smoking than non-medical college students of similar age, which may be associated with medical professional education. © International Society of Behavioral Medicine 2010.","author":[{"dropping-particle":"","family":"Han","given":"Min Yan","non-dropping-particle":"","parse-names":false,"suffix":""},{"dropping-particle":"","family":"Chen","given":"Wei Qing","non-dropping-particle":"","parse-names":false,"suffix":""},{"dropping-particle":"","family":"Wen","given":"Xiao Zhong","non-dropping-particle":"","parse-names":false,"suffix":""},{"dropping-particle":"","family":"Liang","given":"Cai Hua","non-dropping-particle":"","parse-names":false,"suffix":""},{"dropping-particle":"","family":"Ling","given":"Wen Hua","non-dropping-particle":"","parse-names":false,"suffix":""}],"container-title":"International Journal of Behavioral Medicine","id":"ITEM-1","issue":"1","issued":{"date-parts":[["2012"]]},"page":"104-110","title":"Differences of smoking knowledge, attitudes, and behaviors between medical and non-medical students","type":"article-journal","volume":"19"}}],"schema":"https://github.com/citation-style-language/schema/raw/master/csl-citation.json"} </w:instrText>
      </w:r>
      <w:r w:rsidR="00D416AD">
        <w:rPr>
          <w:rFonts w:ascii="Arial" w:eastAsia="Arial" w:hAnsi="Arial" w:cs="Arial"/>
          <w:sz w:val="20"/>
        </w:rPr>
        <w:fldChar w:fldCharType="separate"/>
      </w:r>
      <w:r w:rsidR="007508FC" w:rsidRPr="007508FC">
        <w:rPr>
          <w:rFonts w:ascii="Arial" w:hAnsi="Arial" w:cs="Arial"/>
          <w:sz w:val="20"/>
        </w:rPr>
        <w:t>(29)</w:t>
      </w:r>
      <w:r w:rsidR="00D416AD">
        <w:rPr>
          <w:rFonts w:ascii="Arial" w:eastAsia="Arial" w:hAnsi="Arial" w:cs="Arial"/>
          <w:sz w:val="20"/>
        </w:rPr>
        <w:fldChar w:fldCharType="end"/>
      </w:r>
      <w:r w:rsidRPr="006D15B2">
        <w:rPr>
          <w:rFonts w:ascii="Arial" w:eastAsia="Arial" w:hAnsi="Arial" w:cs="Arial"/>
          <w:sz w:val="20"/>
        </w:rPr>
        <w:t xml:space="preserve">. Iz takvih rezultata moglo bi se protumačiti da studenti viših godina biomedicinskih fakulteta puše manje zbog znanja koje su stekli tijekom studiranja. U ovom istraživanju nisu prikupljeni podaci o godini studija pa takve usporedbe nije moguće raditi. Međutim, druge studije pokazale su da se stavovi i ponašanje studenata vezano za pušenje ne popravlja nužno s većom količinom teoretskog znanja. Studenti biomedicinskog područja puše unatoč visokom stupnju teoretskog znanja o utjecaju pušenja na zdravlje. Studenti stomatologije imaju velik udio pušača iako se preko 90% njih slaže da pušenje uzrokuje rak usne šupljine te da se prestankom pušenja smanjuje rizik nastanka raka usne šupljine </w:t>
      </w:r>
      <w:r w:rsidR="00D416AD">
        <w:rPr>
          <w:rFonts w:ascii="Arial" w:eastAsia="Arial" w:hAnsi="Arial" w:cs="Arial"/>
          <w:sz w:val="20"/>
        </w:rPr>
        <w:fldChar w:fldCharType="begin" w:fldLock="1"/>
      </w:r>
      <w:r w:rsidR="007508FC">
        <w:rPr>
          <w:rFonts w:ascii="Arial" w:eastAsia="Arial" w:hAnsi="Arial" w:cs="Arial"/>
          <w:sz w:val="20"/>
        </w:rPr>
        <w:instrText xml:space="preserve"> ADDIN ZOTERO_ITEM CSL_CITATION {"citationID":"bBzcLuCq","properties":{"formattedCitation":"(30)","plainCitation":"(30)","noteIndex":0},"citationItems":[{"id":"YlNUCLkK/nUAlyuh5","uris":["http://www.mendeley.com/documents/?uuid=e6aa5507-3e1f-3d06-8d94-a0dfa5a3bad4"],"uri":["http://www.mendeley.com/documents/?uuid=e6aa5507-3e1f-3d06-8d94-a0dfa5a3bad4"],"itemData":{"DOI":"10.15644/asc52/2/8","ISSN":"18460410","abstract":"Objective: The aim of this study was to evaluate smoking habits, the level of knowledge and attitudes towards smoking, as well as the role of dental professionals in prevention of smoking among students of the School of Dental Medicine, University of Zagreb and compare them to attitudes of practicing Croatian dentists. Materials and methods: The study was carried out among 1st and 6th year dental students at the School of Dental Medicine, University of Zagreb and dentists employed in primary practice throughout Croatia. A total of 159 subjects (51 1st and 53 6th year dental students and 55 dentists) participated in the study. Results: The prevalence of smoking was highest among 6th year dental students (39, 6%). It slightly decreased among dentists (34, 5%), while least smokers were found among first year dental students (7, 8%). The majority of dental student smokers expressed a desire to stop smoking (66, 7% of 1st year dental student smokers and 76% of 6th year dental student smokers), while less than half of dentist smokers had the desire to stop - only 45, 8% of them. Dental students of the 1st and 6th year of the study showed a statistically significantly higher level of desire for education about harmful smoking effects and patients counselling to quit smoking compared to dentists. The data gathered in this study indicate that it is necessary to increase awareness among dental professionals about harmful effects of smoking on oral and general health. Also, their awareness about the central role of healthcare workers as promoters of a healthy lifestyle among patients should be raised.","author":[{"dropping-particle":"","family":"Komar","given":"Katarina","non-dropping-particle":"","parse-names":false,"suffix":""},{"dropping-particle":"","family":"Glavina","given":"Ana","non-dropping-particle":"","parse-names":false,"suffix":""},{"dropping-particle":"","family":"Boras","given":"Vanja Vučićević","non-dropping-particle":"","parse-names":false,"suffix":""},{"dropping-particle":"","family":"Verzak","given":"Željko","non-dropping-particle":"","parse-names":false,"suffix":""},{"dropping-particle":"","family":"Brailo","given":"Vlaho","non-dropping-particle":"","parse-names":false,"suffix":""}],"container-title":"Acta Stomatologica Croatica","id":"ITEM-1","issue":"2","issued":{"date-parts":[["2018","6","1"]]},"page":"148-155","publisher":"University of Zagreb","title":"Impact of smoking on oral health: Knowledge and attitudes of dentists and dental students","type":"article-journal","volume":"52"}}],"schema":"https://github.com/citation-style-language/schema/raw/master/csl-citation.json"} </w:instrText>
      </w:r>
      <w:r w:rsidR="00D416AD">
        <w:rPr>
          <w:rFonts w:ascii="Arial" w:eastAsia="Arial" w:hAnsi="Arial" w:cs="Arial"/>
          <w:sz w:val="20"/>
        </w:rPr>
        <w:fldChar w:fldCharType="separate"/>
      </w:r>
      <w:r w:rsidR="007508FC" w:rsidRPr="007508FC">
        <w:rPr>
          <w:rFonts w:ascii="Arial" w:hAnsi="Arial" w:cs="Arial"/>
          <w:sz w:val="20"/>
        </w:rPr>
        <w:t>(30)</w:t>
      </w:r>
      <w:r w:rsidR="00D416AD">
        <w:rPr>
          <w:rFonts w:ascii="Arial" w:eastAsia="Arial" w:hAnsi="Arial" w:cs="Arial"/>
          <w:sz w:val="20"/>
        </w:rPr>
        <w:fldChar w:fldCharType="end"/>
      </w:r>
      <w:r w:rsidRPr="006D15B2">
        <w:rPr>
          <w:rFonts w:ascii="Arial" w:eastAsia="Arial" w:hAnsi="Arial" w:cs="Arial"/>
          <w:sz w:val="20"/>
        </w:rPr>
        <w:t xml:space="preserve">. Takvi rezultati mogli bi upućivati na činjenicu da su stavovi o pušenju u studentskoj populaciji poprilično tvrdokorni i da ih je teško ispraviti samo formalnom teoretskom edukacijom o utjecaju pušenja na zdravlje. Istraživanja svakodnevnog pušenja među studentima medicine u Kini pokazala su porast usporedno s godinama studija (8,94% među studentima 1. godine do 22,05% među studentima 5. godine) </w:t>
      </w:r>
      <w:r w:rsidR="00D416AD">
        <w:rPr>
          <w:rFonts w:ascii="Arial" w:eastAsia="Arial" w:hAnsi="Arial" w:cs="Arial"/>
          <w:sz w:val="20"/>
        </w:rPr>
        <w:fldChar w:fldCharType="begin" w:fldLock="1"/>
      </w:r>
      <w:r w:rsidR="007508FC">
        <w:rPr>
          <w:rFonts w:ascii="Arial" w:eastAsia="Arial" w:hAnsi="Arial" w:cs="Arial"/>
          <w:sz w:val="20"/>
        </w:rPr>
        <w:instrText xml:space="preserve"> ADDIN ZOTERO_ITEM CSL_CITATION {"citationID":"txm9UQHh","properties":{"formattedCitation":"(31)","plainCitation":"(31)","noteIndex":0},"citationItems":[{"id":"YlNUCLkK/IuWs3HQ3","uris":["http://www.mendeley.com/documents/?uuid=eb80f4da-efdd-43b2-88e6-b5c93c2078a0"],"uri":["http://www.mendeley.com/documents/?uuid=eb80f4da-efdd-43b2-88e6-b5c93c2078a0"],"itemData":{"DOI":"10.1177/1010539518800339","ISSN":"10105395","PMID":"30256673","abstract":"This study aimed to estimate the prevalence of current smoking among medical students in mainland China through a systematic search across 6 electronic databases for English or Chinese studies published before May 25, 2018. A total of 79 studies were included; 26 had a high risk of bias. The overall pooled prevalence of current smoking was 10.93% (7460/68 253; 95% confidence interval = 0.09%, 13.08%, I 2 = 98.6%). This study found a decreasing prevalence of current smoking over the period studied (survey year range of 1988-2014). More specifically, the current smoking prevalence in males decreased progressively across time, while the prevalence in females remained relatively constant. The overall prevalence in the west was higher than in the middle or east of mainland China (P =.0061). The overall prevalence of current smoking increased with year in school (P =.0028). The present study provides a comprehensive synthesis of current smoking prevalence among medical students in mainland China. Although there have been some improvements in the status of tobacco use among medical students, given the leading role of physicians in tobacco control, sustained efforts are needed to curb the tobacco epidemic among medical students.","author":[{"dropping-particle":"","family":"Niu","given":"Lu","non-dropping-particle":"","parse-names":false,"suffix":""},{"dropping-particle":"","family":"Liu","given":"Ying","non-dropping-particle":"","parse-names":false,"suffix":""},{"dropping-particle":"","family":"Luo","given":"Dan","non-dropping-particle":"","parse-names":false,"suffix":""},{"dropping-particle":"","family":"Xiao","given":"Shuiyuan","non-dropping-particle":"","parse-names":false,"suffix":""}],"container-title":"Asia-Pacific Journal of Public Health","id":"ITEM-1","issue":"7","issued":{"date-parts":[["2018"]]},"page":"610-623","title":"Current Smoking Behavior Among Medical Students in Mainland China: A Systematic Review and Meta-Analysis","type":"article-journal","volume":"30"}}],"schema":"https://github.com/citation-style-language/schema/raw/master/csl-citation.json"} </w:instrText>
      </w:r>
      <w:r w:rsidR="00D416AD">
        <w:rPr>
          <w:rFonts w:ascii="Arial" w:eastAsia="Arial" w:hAnsi="Arial" w:cs="Arial"/>
          <w:sz w:val="20"/>
        </w:rPr>
        <w:fldChar w:fldCharType="separate"/>
      </w:r>
      <w:r w:rsidR="007508FC" w:rsidRPr="007508FC">
        <w:rPr>
          <w:rFonts w:ascii="Arial" w:hAnsi="Arial" w:cs="Arial"/>
          <w:sz w:val="20"/>
        </w:rPr>
        <w:t>(31)</w:t>
      </w:r>
      <w:r w:rsidR="00D416AD">
        <w:rPr>
          <w:rFonts w:ascii="Arial" w:eastAsia="Arial" w:hAnsi="Arial" w:cs="Arial"/>
          <w:sz w:val="20"/>
        </w:rPr>
        <w:fldChar w:fldCharType="end"/>
      </w:r>
      <w:r w:rsidRPr="006D15B2">
        <w:rPr>
          <w:rFonts w:ascii="Arial" w:eastAsia="Arial" w:hAnsi="Arial" w:cs="Arial"/>
          <w:sz w:val="20"/>
        </w:rPr>
        <w:t xml:space="preserve">. Isti trend uočen je i na studiju stomatologije u Hrvatskoj (7,8% među studentima 1. godine do 39,6% među studentima 5. godine). Također je pronđeno da su mlađi studenti u većoj mjeri povremeni, a stariji studenti u većoj mjeri svakodnevni pušači </w:t>
      </w:r>
      <w:r w:rsidR="00D416AD">
        <w:rPr>
          <w:rFonts w:ascii="Arial" w:eastAsia="Arial" w:hAnsi="Arial" w:cs="Arial"/>
          <w:sz w:val="20"/>
        </w:rPr>
        <w:fldChar w:fldCharType="begin" w:fldLock="1"/>
      </w:r>
      <w:r w:rsidR="007508FC">
        <w:rPr>
          <w:rFonts w:ascii="Arial" w:eastAsia="Arial" w:hAnsi="Arial" w:cs="Arial"/>
          <w:sz w:val="20"/>
        </w:rPr>
        <w:instrText xml:space="preserve"> ADDIN ZOTERO_ITEM CSL_CITATION {"citationID":"DNeZ5kU8","properties":{"formattedCitation":"(30)","plainCitation":"(30)","noteIndex":0},"citationItems":[{"id":"YlNUCLkK/nUAlyuh5","uris":["http://www.mendeley.com/documents/?uuid=e6aa5507-3e1f-3d06-8d94-a0dfa5a3bad4"],"uri":["http://www.mendeley.com/documents/?uuid=e6aa5507-3e1f-3d06-8d94-a0dfa5a3bad4"],"itemData":{"DOI":"10.15644/asc52/2/8","ISSN":"18460410","abstract":"Objective: The aim of this study was to evaluate smoking habits, the level of knowledge and attitudes towards smoking, as well as the role of dental professionals in prevention of smoking among students of the School of Dental Medicine, University of Zagreb and compare them to attitudes of practicing Croatian dentists. Materials and methods: The study was carried out among 1st and 6th year dental students at the School of Dental Medicine, University of Zagreb and dentists employed in primary practice throughout Croatia. A total of 159 subjects (51 1st and 53 6th year dental students and 55 dentists) participated in the study. Results: The prevalence of smoking was highest among 6th year dental students (39, 6%). It slightly decreased among dentists (34, 5%), while least smokers were found among first year dental students (7, 8%). The majority of dental student smokers expressed a desire to stop smoking (66, 7% of 1st year dental student smokers and 76% of 6th year dental student smokers), while less than half of dentist smokers had the desire to stop - only 45, 8% of them. Dental students of the 1st and 6th year of the study showed a statistically significantly higher level of desire for education about harmful smoking effects and patients counselling to quit smoking compared to dentists. The data gathered in this study indicate that it is necessary to increase awareness among dental professionals about harmful effects of smoking on oral and general health. Also, their awareness about the central role of healthcare workers as promoters of a healthy lifestyle among patients should be raised.","author":[{"dropping-particle":"","family":"Komar","given":"Katarina","non-dropping-particle":"","parse-names":false,"suffix":""},{"dropping-particle":"","family":"Glavina","given":"Ana","non-dropping-particle":"","parse-names":false,"suffix":""},{"dropping-particle":"","family":"Boras","given":"Vanja Vučićević","non-dropping-particle":"","parse-names":false,"suffix":""},{"dropping-particle":"","family":"Verzak","given":"Željko","non-dropping-particle":"","parse-names":false,"suffix":""},{"dropping-particle":"","family":"Brailo","given":"Vlaho","non-dropping-particle":"","parse-names":false,"suffix":""}],"container-title":"Acta Stomatologica Croatica","id":"ITEM-1","issue":"2","issued":{"date-parts":[["2018","6","1"]]},"page":"148-155","publisher":"University of Zagreb","title":"Impact of smoking on oral health: Knowledge and attitudes of dentists and dental students","type":"article-journal","volume":"52"}}],"schema":"https://github.com/citation-style-language/schema/raw/master/csl-citation.json"} </w:instrText>
      </w:r>
      <w:r w:rsidR="00D416AD">
        <w:rPr>
          <w:rFonts w:ascii="Arial" w:eastAsia="Arial" w:hAnsi="Arial" w:cs="Arial"/>
          <w:sz w:val="20"/>
        </w:rPr>
        <w:fldChar w:fldCharType="separate"/>
      </w:r>
      <w:r w:rsidR="007508FC" w:rsidRPr="007508FC">
        <w:rPr>
          <w:rFonts w:ascii="Arial" w:hAnsi="Arial" w:cs="Arial"/>
          <w:sz w:val="20"/>
        </w:rPr>
        <w:t>(30)</w:t>
      </w:r>
      <w:r w:rsidR="00D416AD">
        <w:rPr>
          <w:rFonts w:ascii="Arial" w:eastAsia="Arial" w:hAnsi="Arial" w:cs="Arial"/>
          <w:sz w:val="20"/>
        </w:rPr>
        <w:fldChar w:fldCharType="end"/>
      </w:r>
      <w:r w:rsidRPr="006D15B2">
        <w:rPr>
          <w:rFonts w:ascii="Arial" w:eastAsia="Arial" w:hAnsi="Arial" w:cs="Arial"/>
          <w:sz w:val="20"/>
        </w:rPr>
        <w:t>.</w:t>
      </w:r>
    </w:p>
    <w:p w14:paraId="2D5A6EE3" w14:textId="2CC45B79" w:rsidR="00076856" w:rsidRPr="006D15B2" w:rsidRDefault="00DE4299" w:rsidP="00756C58">
      <w:pPr>
        <w:pBdr>
          <w:top w:val="nil"/>
          <w:left w:val="nil"/>
          <w:bottom w:val="nil"/>
          <w:right w:val="nil"/>
          <w:between w:val="nil"/>
        </w:pBdr>
        <w:spacing w:line="360" w:lineRule="auto"/>
        <w:jc w:val="both"/>
        <w:rPr>
          <w:rFonts w:ascii="Arial" w:eastAsia="Arial" w:hAnsi="Arial" w:cs="Arial"/>
          <w:sz w:val="20"/>
        </w:rPr>
      </w:pPr>
      <w:r w:rsidRPr="006D15B2">
        <w:rPr>
          <w:rFonts w:ascii="Arial" w:eastAsia="Arial" w:hAnsi="Arial" w:cs="Arial"/>
          <w:sz w:val="20"/>
        </w:rPr>
        <w:t xml:space="preserve">Bolje zdravstveno ponašanje kod studenata medicine moglo bi biti potaknuto pritiskom okoline u zdravstvenoj zajednici te subjektivnim doživljajem odgovornosti predstavljanja zdravog načina života svojim pacijentima. Preko 80% studenata medicine neovisno o pušačkom statusu slaže se da zdravstveni djelatnici igraju važnu ulogu u savjetovanju javnosti i svojih pacijenata o prestanku pušenja, ali većina studenata medicine ima potrebu za dodatnom edukacijom o metodama prestanka pušenja, unatoč tome što su u velikoj mjeri točno odgovorili na pitanja vezana uz teoretsko znanje o pušenju </w:t>
      </w:r>
      <w:r w:rsidR="00D416AD">
        <w:rPr>
          <w:rFonts w:ascii="Arial" w:eastAsia="Arial" w:hAnsi="Arial" w:cs="Arial"/>
          <w:sz w:val="20"/>
        </w:rPr>
        <w:fldChar w:fldCharType="begin" w:fldLock="1"/>
      </w:r>
      <w:r w:rsidR="007508FC">
        <w:rPr>
          <w:rFonts w:ascii="Arial" w:eastAsia="Arial" w:hAnsi="Arial" w:cs="Arial"/>
          <w:sz w:val="20"/>
        </w:rPr>
        <w:instrText xml:space="preserve"> ADDIN ZOTERO_ITEM CSL_CITATION {"citationID":"KWgsVzDt","properties":{"formattedCitation":"(32)","plainCitation":"(32)","noteIndex":0},"citationItems":[{"id":"YlNUCLkK/AtWKY2jV","uris":["http://www.mendeley.com/documents/?uuid=573fb6ad-8241-30d6-9f75-91bc77a81eba"],"uri":["http://www.mendeley.com/documents/?uuid=573fb6ad-8241-30d6-9f75-91bc77a81eba"],"itemData":{"DOI":"10.1007/s11606-016-3890-0","ISSN":"15251497","PMID":"27730488","abstract":"Background: Physicians in Argentina smoke at rates similar to the general population, and do not have a clear role in tobacco control strategies. Objective: To describe the attitudes and knowledge of medical students and recent graduates towards smoking behavior in Argentina. Design: Cross-sectional self-administered online survey conducted in 2011. Participants: Medical students and recent medical graduates from the University of Buenos Aires. Main Measures: Attitudes and knowledge were evaluated by responses to 16 statements regarding the effects of smoking cigarettes and the role of physicians in tobacco control. Rates of agreement with a full ban on indoor smoking in different public settings were assessed. Key Results: The sample included 1659 participants (response rate: 35.1 %), 453 of whom (27.3 %) were current smokers. Only 52 % of participants agreed that doctors should set an example for their patients by not smoking, 30.9 % thought that medical advice had little effect on patients’ cessation behavior, and 19.4 % believed that physicians could decline to care for smoking patients who failed to quit. In adjusted logistic regression models, current smokers had less supportive attitudes about tobacco control and were less likely than non-smokers to agree with a full indoor smoking ban in hospitals (OR: 0.30; 95 % CI 0.16–0.58), universities (OR: 0.55; 95 % CI 0.41–0.73), workplaces (OR: 0.67; 95 % CI 0.50–0.88), restaurants (OR: 0.42; 95 % CI 0.33–0.53), cafes (OR: 0.41; 95 % CI 0.33–0.51), nightclubs (OR: 0.32; 95 % CI 0.25–0.40), and bars (0.35; 95 % CI 0.28–0.45). Recent medical graduates had more accurate knowledge about cessation and were more likely to agree with a full smoking ban in recreational venues. Conclusions: Although most participants reported a strong anti-tobacco attitude, a proportion still failed to recognize the importance of their role as physicians in tobacco control strategies. Current smokers and current students were less likely to support indoor smoking bans. Specific educational curricula could address these factors.","author":[{"dropping-particle":"","family":"Salgado","given":"M. Victoria","non-dropping-particle":"","parse-names":false,"suffix":""},{"dropping-particle":"","family":"Mejía","given":"Raúl M.","non-dropping-particle":"","parse-names":false,"suffix":""},{"dropping-particle":"","family":"Kaplan","given":"Celia P.","non-dropping-particle":"","parse-names":false,"suffix":""},{"dropping-particle":"","family":"Pérez-Stable","given":"Eliseo J.","non-dropping-particle":"","parse-names":false,"suffix":""}],"container-title":"Journal of General Internal Medicine","id":"ITEM-1","issue":"5","issued":{"date-parts":[["2017","5","1"]]},"page":"549-555","publisher":"Springer New York LLC","title":"Smoking-Related Attitudes and Knowledge Among Medical Students and Recent Graduates in Argentina: A Cross-Sectional Study","type":"article-journal","volume":"32"}}],"schema":"https://github.com/citation-style-language/schema/raw/master/csl-citation.json"} </w:instrText>
      </w:r>
      <w:r w:rsidR="00D416AD">
        <w:rPr>
          <w:rFonts w:ascii="Arial" w:eastAsia="Arial" w:hAnsi="Arial" w:cs="Arial"/>
          <w:sz w:val="20"/>
        </w:rPr>
        <w:fldChar w:fldCharType="separate"/>
      </w:r>
      <w:r w:rsidR="007508FC" w:rsidRPr="007508FC">
        <w:rPr>
          <w:rFonts w:ascii="Arial" w:hAnsi="Arial" w:cs="Arial"/>
          <w:sz w:val="20"/>
        </w:rPr>
        <w:t>(32)</w:t>
      </w:r>
      <w:r w:rsidR="00D416AD">
        <w:rPr>
          <w:rFonts w:ascii="Arial" w:eastAsia="Arial" w:hAnsi="Arial" w:cs="Arial"/>
          <w:sz w:val="20"/>
        </w:rPr>
        <w:fldChar w:fldCharType="end"/>
      </w:r>
      <w:r w:rsidRPr="006D15B2">
        <w:rPr>
          <w:rFonts w:ascii="Arial" w:eastAsia="Arial" w:hAnsi="Arial" w:cs="Arial"/>
          <w:sz w:val="20"/>
        </w:rPr>
        <w:t xml:space="preserve">.  </w:t>
      </w:r>
    </w:p>
    <w:p w14:paraId="015CC58C" w14:textId="77777777" w:rsidR="00076856" w:rsidRPr="0075286B" w:rsidRDefault="00DE4299" w:rsidP="00756C58">
      <w:pPr>
        <w:pStyle w:val="Heading2"/>
        <w:numPr>
          <w:ilvl w:val="1"/>
          <w:numId w:val="4"/>
        </w:numPr>
        <w:spacing w:line="360" w:lineRule="auto"/>
        <w:ind w:firstLine="0"/>
        <w:rPr>
          <w:rFonts w:ascii="Arial" w:eastAsia="Arial" w:hAnsi="Arial" w:cs="Arial"/>
          <w:sz w:val="24"/>
          <w:szCs w:val="24"/>
        </w:rPr>
      </w:pPr>
      <w:bookmarkStart w:id="40" w:name="_heading=h.1ptq5yk3drp4" w:colFirst="0" w:colLast="0"/>
      <w:bookmarkStart w:id="41" w:name="_Toc75635812"/>
      <w:bookmarkEnd w:id="40"/>
      <w:r w:rsidRPr="0075286B">
        <w:rPr>
          <w:rFonts w:ascii="Arial" w:eastAsia="Arial" w:hAnsi="Arial" w:cs="Arial"/>
          <w:sz w:val="24"/>
          <w:szCs w:val="24"/>
        </w:rPr>
        <w:lastRenderedPageBreak/>
        <w:t>Spremnost studenata na medikamentozno potpomognuto odustajanje od pušenja</w:t>
      </w:r>
      <w:bookmarkEnd w:id="41"/>
    </w:p>
    <w:p w14:paraId="5F133F7C" w14:textId="59B68A4C" w:rsidR="00076856" w:rsidRPr="006D15B2" w:rsidRDefault="00DE4299" w:rsidP="00756C58">
      <w:pPr>
        <w:pBdr>
          <w:top w:val="nil"/>
          <w:left w:val="nil"/>
          <w:bottom w:val="nil"/>
          <w:right w:val="nil"/>
          <w:between w:val="nil"/>
        </w:pBdr>
        <w:spacing w:line="360" w:lineRule="auto"/>
        <w:rPr>
          <w:rFonts w:ascii="Arial" w:eastAsia="Arial" w:hAnsi="Arial" w:cs="Arial"/>
          <w:sz w:val="20"/>
        </w:rPr>
      </w:pPr>
      <w:r w:rsidRPr="006D15B2">
        <w:rPr>
          <w:rFonts w:ascii="Arial" w:eastAsia="Arial" w:hAnsi="Arial" w:cs="Arial"/>
          <w:sz w:val="20"/>
        </w:rPr>
        <w:t xml:space="preserve">Istraživanjem smo potvrdili da postoje dva faktora koja imaju značajan utjecaj na spremnost studenata za prihvaćanjem medikamentozne terapije u svrhu prestanka pušenja, a to su spol i tip studija. </w:t>
      </w:r>
      <w:r w:rsidR="00667D9B" w:rsidRPr="00667D9B">
        <w:rPr>
          <w:rFonts w:ascii="Arial" w:eastAsia="Arial" w:hAnsi="Arial" w:cs="Arial"/>
          <w:sz w:val="20"/>
        </w:rPr>
        <w:t xml:space="preserve">Studentice su pokazale manji interes za uzimanjem terapije od svojih muških kolega, što se kosi s dosadašnjim spoznajama znanstvenih istraživanja  </w:t>
      </w:r>
      <w:r w:rsidR="00D416AD">
        <w:rPr>
          <w:rFonts w:ascii="Arial" w:eastAsia="Arial" w:hAnsi="Arial" w:cs="Arial"/>
          <w:sz w:val="20"/>
        </w:rPr>
        <w:fldChar w:fldCharType="begin" w:fldLock="1"/>
      </w:r>
      <w:r w:rsidR="007508FC">
        <w:rPr>
          <w:rFonts w:ascii="Arial" w:eastAsia="Arial" w:hAnsi="Arial" w:cs="Arial"/>
          <w:sz w:val="20"/>
        </w:rPr>
        <w:instrText xml:space="preserve"> ADDIN ZOTERO_ITEM CSL_CITATION {"citationID":"yB8Y1ChT","properties":{"formattedCitation":"(15)","plainCitation":"(15)","noteIndex":0},"citationItems":[{"id":"YlNUCLkK/je3fgjyr","uris":["http://www.mendeley.com/documents/?uuid=a2970734-3b0b-4da5-8a45-33d904581eb1"],"uri":["http://www.mendeley.com/documents/?uuid=a2970734-3b0b-4da5-8a45-33d904581eb1"],"itemData":{"DOI":"10.1080/14622200701704202","ISSN":"14622203","PMID":"18188747","abstract":"Tobacco use among college students increased substantially during the 1990s. Better understanding of college smokers is warranted to develop interventions specific to the needs of this population. We examined sociodemographic and tobacco-use characteristics associated with self-identification as a regular smoker and intentions to quit smoking among college students who smoke cigarettes. We conducted logistic regression analysis on baseline survey data from the Campus Health Action on Tobacco study, a 4-year group-randomized trial at 30 four-year colleges in Washington, Oregon, and Idaho. Students who self-identified as a regular smoker smoked more cigarettes before starting college, smoked a greater number of cigarettes the prior 30 days, smoked more cigarettes per day, and were more likely to smoke within 30 min of waking up, compared with students who were current smokers but did not consider themselves regular smokers. Females, older students, and those who had decreased the amount they smoked since coming to college were more likely to want to quit \"very much.\" Females and students in early college years were more likely to be planning to quit before graduation, as were students who had decreased the amount they smoked since coming to college. Interventions should target students who are in their early college years, given that habits prior to college, changes in smoking habits while in college, and year in college are associated with students' self-identification as a regular smoker, desire to quit smoking, or plan to quit smoking while in college.","author":[{"dropping-particle":"","family":"Harris","given":"Jennifer B.","non-dropping-particle":"","parse-names":false,"suffix":""},{"dropping-particle":"","family":"Schwartz","given":"Stephen M.","non-dropping-particle":"","parse-names":false,"suffix":""},{"dropping-particle":"","family":"Thompson","given":"Beti","non-dropping-particle":"","parse-names":false,"suffix":""}],"container-title":"Nicotine and Tobacco Research","id":"ITEM-1","issue":"1","issued":{"date-parts":[["2008"]]},"page":"69-76","title":"Characteristics associated with self-identification as a regular smoker and desire to quit among college students who smoke cigarettes","type":"article-journal","volume":"10"}}],"schema":"https://github.com/citation-style-language/schema/raw/master/csl-citation.json"} </w:instrText>
      </w:r>
      <w:r w:rsidR="00D416AD">
        <w:rPr>
          <w:rFonts w:ascii="Arial" w:eastAsia="Arial" w:hAnsi="Arial" w:cs="Arial"/>
          <w:sz w:val="20"/>
        </w:rPr>
        <w:fldChar w:fldCharType="separate"/>
      </w:r>
      <w:r w:rsidR="007508FC" w:rsidRPr="007508FC">
        <w:rPr>
          <w:rFonts w:ascii="Arial" w:hAnsi="Arial" w:cs="Arial"/>
          <w:sz w:val="20"/>
        </w:rPr>
        <w:t>(15)</w:t>
      </w:r>
      <w:r w:rsidR="00D416AD">
        <w:rPr>
          <w:rFonts w:ascii="Arial" w:eastAsia="Arial" w:hAnsi="Arial" w:cs="Arial"/>
          <w:sz w:val="20"/>
        </w:rPr>
        <w:fldChar w:fldCharType="end"/>
      </w:r>
      <w:r w:rsidRPr="006D15B2">
        <w:rPr>
          <w:rFonts w:ascii="Arial" w:eastAsia="Arial" w:hAnsi="Arial" w:cs="Arial"/>
          <w:sz w:val="20"/>
        </w:rPr>
        <w:t xml:space="preserve">. </w:t>
      </w:r>
      <w:r w:rsidR="00954889">
        <w:t xml:space="preserve">Dok su muškarci u pravilu skloniji ulasku u zdravstveno rizična ponašanja poput pušenja </w:t>
      </w:r>
      <w:r w:rsidR="00D416AD">
        <w:rPr>
          <w:rFonts w:ascii="Arial" w:eastAsia="Arial" w:hAnsi="Arial" w:cs="Arial"/>
          <w:sz w:val="20"/>
        </w:rPr>
        <w:fldChar w:fldCharType="begin" w:fldLock="1"/>
      </w:r>
      <w:r w:rsidR="007508FC">
        <w:rPr>
          <w:rFonts w:ascii="Arial" w:eastAsia="Arial" w:hAnsi="Arial" w:cs="Arial"/>
          <w:sz w:val="20"/>
        </w:rPr>
        <w:instrText xml:space="preserve"> ADDIN ZOTERO_ITEM CSL_CITATION {"citationID":"sUaio3X4","properties":{"formattedCitation":"(33)","plainCitation":"(33)","noteIndex":0},"citationItems":[{"id":"YlNUCLkK/J6PVd70U","uris":["http://www.mendeley.com/documents/?uuid=d43d215c-2521-334d-9b8b-0b5f8a710d36"],"uri":["http://www.mendeley.com/documents/?uuid=d43d215c-2521-334d-9b8b-0b5f8a710d36"],"itemData":{"DOI":"10.1111/jan.12981","ISSN":"13652648","PMID":"27102085","abstract":"Aims: To estimate the sex-stratified prevalence and clustering of 14 behavioural and metabolic health risk factors in emerging adulthood. Background: The high prevalence and the clustering of risk factors multiply health consequences and increase the threat to the future health and quality of life of young adults. Design: Descriptive cross-sectional study. Methods: During November-December 2012, we assessed 14 lifestyle characteristics of 1058 1st year university students’ that were classified as: healthy (score = 0), unhealthy (score = 1) and high-risk unhealthy (score = 2). We subsequently created a Multiple Health Risk Behaviours Index by summing the score of each behaviour adjusted to 0-100. Results: Only 0·3% of the students had one risk behaviour and 21·3% (male: 31·5%; female: 12·6%) had ≥10 of 14. Male students had higher risk index score. In adjusted regression analyses, female students had higher odds of reporting healthier behaviours in oral hygiene (tooth brushing), red meat and junk food consumption, binge drinking, cannabis/hashish/marijuana use and lower number of sexual partners and Body Mass Index. Male students reported higher physical activity. No statistically significant gender differences were noted for screen time/sedentary behaviours, condom use, smoking, sunburns, breakfast and fruit and vegetable consumption. Conclusion: Although health-compromising behaviours are highly prevalent in both men and women, they are gender-related, with males engaging in more health risk behaviours than females. Preventive interventions may need to focus on gender-informed approaches when targeting multiple health risk behaviours.","author":[{"dropping-particle":"","family":"Kritsotakis","given":"George","non-dropping-particle":"","parse-names":false,"suffix":""},{"dropping-particle":"","family":"Psarrou","given":"Maria","non-dropping-particle":"","parse-names":false,"suffix":""},{"dropping-particle":"","family":"Vassilaki","given":"Maria","non-dropping-particle":"","parse-names":false,"suffix":""},{"dropping-particle":"","family":"Androulaki","given":"Zacharenia","non-dropping-particle":"","parse-names":false,"suffix":""},{"dropping-particle":"","family":"Philalithis","given":"Anastas E.","non-dropping-particle":"","parse-names":false,"suffix":""}],"container-title":"Journal of Advanced Nursing","id":"ITEM-1","issue":"9","issued":{"date-parts":[["2016","9","1"]]},"page":"2098-2113","publisher":"Blackwell Publishing Ltd","title":"Gender differences in the prevalence and clustering of multiple health risk behaviours in young adults","type":"article-journal","volume":"72"}}],"schema":"https://github.com/citation-style-language/schema/raw/master/csl-citation.json"} </w:instrText>
      </w:r>
      <w:r w:rsidR="00D416AD">
        <w:rPr>
          <w:rFonts w:ascii="Arial" w:eastAsia="Arial" w:hAnsi="Arial" w:cs="Arial"/>
          <w:sz w:val="20"/>
        </w:rPr>
        <w:fldChar w:fldCharType="separate"/>
      </w:r>
      <w:r w:rsidR="007508FC" w:rsidRPr="007508FC">
        <w:rPr>
          <w:rFonts w:ascii="Arial" w:hAnsi="Arial" w:cs="Arial"/>
          <w:sz w:val="20"/>
        </w:rPr>
        <w:t>(33)</w:t>
      </w:r>
      <w:r w:rsidR="00D416AD">
        <w:rPr>
          <w:rFonts w:ascii="Arial" w:eastAsia="Arial" w:hAnsi="Arial" w:cs="Arial"/>
          <w:sz w:val="20"/>
        </w:rPr>
        <w:fldChar w:fldCharType="end"/>
      </w:r>
      <w:r w:rsidRPr="006D15B2">
        <w:rPr>
          <w:rFonts w:ascii="Arial" w:eastAsia="Arial" w:hAnsi="Arial" w:cs="Arial"/>
          <w:sz w:val="20"/>
        </w:rPr>
        <w:t xml:space="preserve">, </w:t>
      </w:r>
      <w:r w:rsidR="00954889">
        <w:t>žene su sklonije poduzimanju preventivnih mjera sa ciljem poboljšanja zdravlja</w:t>
      </w:r>
      <w:r w:rsidR="00954889" w:rsidRPr="006D15B2" w:rsidDel="00954889">
        <w:rPr>
          <w:rFonts w:ascii="Arial" w:eastAsia="Arial" w:hAnsi="Arial" w:cs="Arial"/>
          <w:sz w:val="20"/>
        </w:rPr>
        <w:t xml:space="preserve"> </w:t>
      </w:r>
      <w:r w:rsidR="00D416AD">
        <w:rPr>
          <w:rFonts w:ascii="Arial" w:eastAsia="Arial" w:hAnsi="Arial" w:cs="Arial"/>
          <w:sz w:val="20"/>
        </w:rPr>
        <w:fldChar w:fldCharType="begin" w:fldLock="1"/>
      </w:r>
      <w:r w:rsidR="007508FC">
        <w:rPr>
          <w:rFonts w:ascii="Arial" w:eastAsia="Arial" w:hAnsi="Arial" w:cs="Arial"/>
          <w:sz w:val="20"/>
        </w:rPr>
        <w:instrText xml:space="preserve"> ADDIN ZOTERO_ITEM CSL_CITATION {"citationID":"p0eK1BUy","properties":{"formattedCitation":"(34)","plainCitation":"(34)","noteIndex":0},"citationItems":[{"id":"YlNUCLkK/sM7uvpSO","uris":["http://www.mendeley.com/documents/?uuid=03fa69ba-3e6a-34a8-9b1c-38c7b211766f"],"uri":["http://www.mendeley.com/documents/?uuid=03fa69ba-3e6a-34a8-9b1c-38c7b211766f"],"itemData":{"DOI":"10.1007/s10389-017-0798-z","ISSN":"16132238","abstract":"Aim: Prevention plays a crucial part in healthcare systems and is greatly influenced by the health and risk behavior of the population. The extent to which special tailoring to the addressed subjects would be helpful in improving the effectiveness of prevention measures is unknown. Therefore, the goal of this systematic review is to assess gender-specific differences in primary prevention actions. Subject and Methods: A systematic review was conducted in 2015 by searching the PubMed (Medline) and Cochrane Library databases as well as adding additional studies by cross-referencing. The search focused on studies with an analysis of gender differences in health and risk behavior concerning primary prevention. Therefore, major exclusion criteria were single-gender studies, underage (&lt;18 years) study collectives and secondary or tertiary prevention measures. Results: In total, 23 studies from 13 different countries were included in the qualitative evaluation. The studies covered 11 different subtopics of primary prevention, but were too diverse in content and type to draw many fundamental conclusions. A meta-analysis was not possible. Generally a tendency for females to be more health-conscious and engaged in preventive behavior could be seen in most subgroups. Conclusion: The importance of gender-specific prevention measures for the healthcare system is being increasingly stressed, but only a few studies specifically analyzing the influence of gender on preventive behavior could be identified. To implement appropriate primary prevention measures tailored to gender-specific needs, more details and studies on gender differences are needed.","author":[{"dropping-particle":"","family":"Hiller","given":"Julia","non-dropping-particle":"","parse-names":false,"suffix":""},{"dropping-particle":"","family":"Schatz","given":"Kathrina","non-dropping-particle":"","parse-names":false,"suffix":""},{"dropping-particle":"","family":"Drexler","given":"Hans","non-dropping-particle":"","parse-names":false,"suffix":""}],"container-title":"Journal of Public Health (Germany)","id":"ITEM-1","issue":"4","issued":{"date-parts":[["2017","8","1"]]},"page":"339-349","publisher":"Springer Verlag","title":"Gender influence on health and risk behavior in primary prevention: a systematic review","type":"article","volume":"25"}}],"schema":"https://github.com/citation-style-language/schema/raw/master/csl-citation.json"} </w:instrText>
      </w:r>
      <w:r w:rsidR="00D416AD">
        <w:rPr>
          <w:rFonts w:ascii="Arial" w:eastAsia="Arial" w:hAnsi="Arial" w:cs="Arial"/>
          <w:sz w:val="20"/>
        </w:rPr>
        <w:fldChar w:fldCharType="separate"/>
      </w:r>
      <w:r w:rsidR="007508FC" w:rsidRPr="007508FC">
        <w:rPr>
          <w:rFonts w:ascii="Arial" w:hAnsi="Arial" w:cs="Arial"/>
          <w:sz w:val="20"/>
        </w:rPr>
        <w:t>(34)</w:t>
      </w:r>
      <w:r w:rsidR="00D416AD">
        <w:rPr>
          <w:rFonts w:ascii="Arial" w:eastAsia="Arial" w:hAnsi="Arial" w:cs="Arial"/>
          <w:sz w:val="20"/>
        </w:rPr>
        <w:fldChar w:fldCharType="end"/>
      </w:r>
      <w:r w:rsidR="00954889">
        <w:t>, što se ovdje pokazalo suprotnim</w:t>
      </w:r>
      <w:r w:rsidRPr="006D15B2">
        <w:rPr>
          <w:rFonts w:ascii="Arial" w:eastAsia="Arial" w:hAnsi="Arial" w:cs="Arial"/>
          <w:sz w:val="20"/>
        </w:rPr>
        <w:t xml:space="preserve">. Studenti medicine imali su statistički značajno veću vjerojatnost za prihvaćanje lijekova. Takav rezultat može se protumačiti činjenicom da su kroz svoje obrazovanje bolje educirani na području farmakologije, što bi ih trebalo lišiti </w:t>
      </w:r>
      <w:r w:rsidRPr="006D15B2">
        <w:rPr>
          <w:rFonts w:ascii="Arial" w:eastAsia="Arial" w:hAnsi="Arial" w:cs="Arial"/>
          <w:i/>
          <w:sz w:val="20"/>
        </w:rPr>
        <w:t>“straha od tableta”</w:t>
      </w:r>
      <w:r w:rsidRPr="006D15B2">
        <w:rPr>
          <w:rFonts w:ascii="Arial" w:eastAsia="Arial" w:hAnsi="Arial" w:cs="Arial"/>
          <w:sz w:val="20"/>
        </w:rPr>
        <w:t xml:space="preserve">. Bolja upućenost u štetnost pušenja u sinergiji s poznavanjem mogućnosti razvoja nuspojava od lijeka mogli bi biti ključni razlozi zbog kojih je njihov stav znatno pozitivniji od onoga kod kolega na drugim studijima. Unatoč pozitivnijem stavu prema medikamentoznom odvikavanju od pušenja, 60,1% anketiranih studenata medicine u 2005. godini pokušalo je prestati pušiti, ali je samo 30,9% studenata koji su pokušali prestati pušiti dobilo neki oblik pomoći ili savjetovanja za uspješan prestanak pušenja od strane zdravstvenog profesionalca </w:t>
      </w:r>
      <w:r w:rsidR="00D416AD">
        <w:rPr>
          <w:rFonts w:ascii="Arial" w:eastAsia="Arial" w:hAnsi="Arial" w:cs="Arial"/>
          <w:sz w:val="20"/>
        </w:rPr>
        <w:fldChar w:fldCharType="begin" w:fldLock="1"/>
      </w:r>
      <w:r w:rsidR="007508FC">
        <w:rPr>
          <w:rFonts w:ascii="Arial" w:eastAsia="Arial" w:hAnsi="Arial" w:cs="Arial"/>
          <w:sz w:val="20"/>
        </w:rPr>
        <w:instrText xml:space="preserve"> ADDIN ZOTERO_ITEM CSL_CITATION {"citationID":"HfU5YFvm","properties":{"formattedCitation":"(18)","plainCitation":"(18)","noteIndex":0},"citationItems":[{"id":"YlNUCLkK/ExduAIsO","uris":["http://www.mendeley.com/documents/?uuid=a3a9b83f-3377-3efa-acc5-e7dd24a3a9dd"],"uri":["http://www.mendeley.com/documents/?uuid=a3a9b83f-3377-3efa-acc5-e7dd24a3a9dd"],"itemData":{"DOI":"10.1007/s00038-008-7005-5","ISSN":"1420911X","PMID":"18681340","abstract":"Objectives: To collect information from third year medical students attending Croatian medical schools on prevalence of cigarette smoking and other tobacco use, exposure to secondhand smoke, desire to quit using tobacco, attitudes and training concerning counselling patients on tobacco cessation. Methods: Global Health Professionals Survey (GHPS) was conducted in 2005 in all four Croatian medical schools with a census of third year medical students (404 out of 409, response rate 98.5 %) using an anonymous, confi dential and self-reported questionnaire. Results: More than two thirds (67.4 %) of medical students in Croatia have ever smoked cigarettes, and over one third (36.6 %) are smoking cigarettes currently. Half of the medical students (50.4 %) report exposure to second hand smoke at home. Less than a third of current smokers (30.9 %) have received cessation assistance when they tried to quit. Conclusions: Our findings indicate significant tobacco use among medical students in Croatia. There is an urgent need to reduce this harmful behaviour through more comprehensive public health initiatives, provision of support for cessation among health professionals who smoke and provision of training to health professionals to assist their patients with cessation. © Birkhaeuser 2008.","author":[{"dropping-particle":"","family":"Vrazic","given":"Hrvoje","non-dropping-particle":"","parse-names":false,"suffix":""},{"dropping-particle":"","family":"Ljubicic","given":"Divo","non-dropping-particle":"","parse-names":false,"suffix":""},{"dropping-particle":"","family":"Schneider","given":"Nick Kai","non-dropping-particle":"","parse-names":false,"suffix":""}],"container-title":"International Journal of Public Health","id":"ITEM-1","issue":"2","issued":{"date-parts":[["2008"]]},"page":"111-117","publisher":"Birkhauser Verlag Basel","title":"Tobacco use and cessation among medical students in Croatia - Results of the Global Health Professionals Pilot Survey (GHPS) in Croatia, 2005","type":"article-journal","volume":"53"}}],"schema":"https://github.com/citation-style-language/schema/raw/master/csl-citation.json"} </w:instrText>
      </w:r>
      <w:r w:rsidR="00D416AD">
        <w:rPr>
          <w:rFonts w:ascii="Arial" w:eastAsia="Arial" w:hAnsi="Arial" w:cs="Arial"/>
          <w:sz w:val="20"/>
        </w:rPr>
        <w:fldChar w:fldCharType="separate"/>
      </w:r>
      <w:r w:rsidR="007508FC" w:rsidRPr="007508FC">
        <w:rPr>
          <w:rFonts w:ascii="Arial" w:hAnsi="Arial" w:cs="Arial"/>
          <w:sz w:val="20"/>
        </w:rPr>
        <w:t>(18)</w:t>
      </w:r>
      <w:r w:rsidR="00D416AD">
        <w:rPr>
          <w:rFonts w:ascii="Arial" w:eastAsia="Arial" w:hAnsi="Arial" w:cs="Arial"/>
          <w:sz w:val="20"/>
        </w:rPr>
        <w:fldChar w:fldCharType="end"/>
      </w:r>
      <w:r w:rsidRPr="006D15B2">
        <w:rPr>
          <w:rFonts w:ascii="Arial" w:eastAsia="Arial" w:hAnsi="Arial" w:cs="Arial"/>
          <w:sz w:val="20"/>
        </w:rPr>
        <w:t xml:space="preserve">. Podaci dobiveni anketiranjem studenata iz centralne Grčke potvrđuju to. Od gotovo polovice (49%) studenata zdravstvenih struka koji su u trenutku ankete htjeli prestati pušiti, tek ih je nešto više od petine (20,7%) dobilo neki oblik pomoći u prestanku pušenja od strane zdravstvenog profesionalca </w:t>
      </w:r>
      <w:r w:rsidR="00D416AD">
        <w:rPr>
          <w:rFonts w:ascii="Arial" w:eastAsia="Arial" w:hAnsi="Arial" w:cs="Arial"/>
          <w:sz w:val="20"/>
        </w:rPr>
        <w:fldChar w:fldCharType="begin" w:fldLock="1"/>
      </w:r>
      <w:r w:rsidR="007508FC">
        <w:rPr>
          <w:rFonts w:ascii="Arial" w:eastAsia="Arial" w:hAnsi="Arial" w:cs="Arial"/>
          <w:sz w:val="20"/>
        </w:rPr>
        <w:instrText xml:space="preserve"> ADDIN ZOTERO_ITEM CSL_CITATION {"citationID":"EQXlZCjm","properties":{"formattedCitation":"(35)","plainCitation":"(35)","noteIndex":0},"citationItems":[{"id":"YlNUCLkK/rPWx70Hn","uris":["http://www.mendeley.com/documents/?uuid=da33d9a2-4952-3079-b003-2cc3062654d3"],"uri":["http://www.mendeley.com/documents/?uuid=da33d9a2-4952-3079-b003-2cc3062654d3"],"itemData":{"DOI":"10.1136/bmjopen-2019-036512","ISSN":"20446055","PMID":"33087367","abstract":"Objectives The aim of this study was to assess the prevalence of tobacco use and exposure to secondhand smoke among students of health professions (SHPs) and determine possible risk factors for current smoking. In addition, we sought to investigate the level of students' knowledge regarding smoking cessation. Design Cross-sectional. Setting Central Greece. Participants A convenient sample of 822 SHP volunteers were used, composed of 365 medical students, 123 students from a biochemistry department, 71 students from a nursing department, 176 from medical laboratory department and 84 students from a veterinary medicine department. Primary and secondary outcome measures We investigated the prevalence of current smoking and secondhand smoke, their determinants and SHP's knowledge and attitudes regarding smoking cessation. Univariate and logistic regression statistical analysis were used in order to identify risk factors associated with current smoking. Results The prevalence of current smoking was estimated at 23.5% (95% CI 20.7% to 26.5%), while 49% of current smokers reported they wanted to quit smoking. The prevalence of current e-cigarette use was 1.2%. In addition, 96.5% (95% CI 94.9% to 97.5%) of SHP have been exposed to secondhand smoke at least 1 day per week. Logistic regression analysis showed that increasing age (p&lt;0.001), alcohol consumption (p&lt;0.001) and exposure to secondhand smoke in the home (p&lt;0.001) were independent risk factors for current smoking. Notably, only 11.6% of the participants had learnt about methods to be used for smoking cessation. Conclusions Our results underline the need for integrated tobacco control initiatives that should discourage tobacco use among SHP, promote smoke free schools of health science, and implement programs that train SHP in effective cessation-counseling techniques.","author":[{"dropping-particle":"","family":"Samara","given":"Athina A.","non-dropping-particle":"","parse-names":false,"suffix":""},{"dropping-particle":"","family":"Rachiotis","given":"George","non-dropping-particle":"","parse-names":false,"suffix":""},{"dropping-particle":"","family":"Pettemeridou","given":"Sofia","non-dropping-particle":"","parse-names":false,"suffix":""},{"dropping-particle":"","family":"Papastamatiou","given":"Konstantinos","non-dropping-particle":"","parse-names":false,"suffix":""},{"dropping-particle":"","family":"Tourlakopoulos","given":"Konstantinos","non-dropping-particle":"","parse-names":false,"suffix":""},{"dropping-particle":"","family":"Chelioti","given":"Eythimia","non-dropping-particle":"","parse-names":false,"suffix":""},{"dropping-particle":"","family":"Katsioulis","given":"Antonis","non-dropping-particle":"","parse-names":false,"suffix":""},{"dropping-particle":"","family":"Hadjichristodoulou","given":"Christos S.","non-dropping-particle":"","parse-names":false,"suffix":""}],"container-title":"BMJ Open","id":"ITEM-1","issue":"10","issued":{"date-parts":[["2020","10","21"]]},"publisher":"BMJ Publishing Group","title":"Prevalence of tobacco use, exposure to secondhand smoke and knowledge on smoking cessation among students of health professions in Central Greece: A cross-sectional study","type":"article-journal","volume":"10"}}],"schema":"https://github.com/citation-style-language/schema/raw/master/csl-citation.json"} </w:instrText>
      </w:r>
      <w:r w:rsidR="00D416AD">
        <w:rPr>
          <w:rFonts w:ascii="Arial" w:eastAsia="Arial" w:hAnsi="Arial" w:cs="Arial"/>
          <w:sz w:val="20"/>
        </w:rPr>
        <w:fldChar w:fldCharType="separate"/>
      </w:r>
      <w:r w:rsidR="007508FC" w:rsidRPr="007508FC">
        <w:rPr>
          <w:rFonts w:ascii="Arial" w:hAnsi="Arial" w:cs="Arial"/>
          <w:sz w:val="20"/>
        </w:rPr>
        <w:t>(35)</w:t>
      </w:r>
      <w:r w:rsidR="00D416AD">
        <w:rPr>
          <w:rFonts w:ascii="Arial" w:eastAsia="Arial" w:hAnsi="Arial" w:cs="Arial"/>
          <w:sz w:val="20"/>
        </w:rPr>
        <w:fldChar w:fldCharType="end"/>
      </w:r>
      <w:r w:rsidRPr="006D15B2">
        <w:rPr>
          <w:rFonts w:ascii="Arial" w:eastAsia="Arial" w:hAnsi="Arial" w:cs="Arial"/>
          <w:sz w:val="20"/>
        </w:rPr>
        <w:t>. Ovi podaci ukazuju na važnost dostupnosti zdravstvene skrbi i liječničke potpore studentskoj populaciji.</w:t>
      </w:r>
    </w:p>
    <w:p w14:paraId="007757A9" w14:textId="77777777" w:rsidR="00076856" w:rsidRPr="0075286B" w:rsidRDefault="00DE4299" w:rsidP="00756C58">
      <w:pPr>
        <w:pStyle w:val="Heading2"/>
        <w:numPr>
          <w:ilvl w:val="1"/>
          <w:numId w:val="4"/>
        </w:numPr>
        <w:spacing w:line="360" w:lineRule="auto"/>
        <w:ind w:firstLine="0"/>
        <w:rPr>
          <w:rFonts w:ascii="Arial" w:eastAsia="Arial" w:hAnsi="Arial" w:cs="Arial"/>
          <w:sz w:val="24"/>
          <w:szCs w:val="24"/>
        </w:rPr>
      </w:pPr>
      <w:bookmarkStart w:id="42" w:name="_heading=h.tb9ej4wm1lby" w:colFirst="0" w:colLast="0"/>
      <w:bookmarkStart w:id="43" w:name="_Toc75635813"/>
      <w:bookmarkEnd w:id="42"/>
      <w:r w:rsidRPr="0075286B">
        <w:rPr>
          <w:rFonts w:ascii="Arial" w:eastAsia="Arial" w:hAnsi="Arial" w:cs="Arial"/>
          <w:sz w:val="24"/>
          <w:szCs w:val="24"/>
        </w:rPr>
        <w:t>Statistička ograničenja istraživanja</w:t>
      </w:r>
      <w:bookmarkEnd w:id="43"/>
    </w:p>
    <w:p w14:paraId="7D6AA4A4" w14:textId="77777777" w:rsidR="00076856" w:rsidRPr="006D15B2" w:rsidRDefault="00DE4299" w:rsidP="00756C58">
      <w:pPr>
        <w:pBdr>
          <w:top w:val="nil"/>
          <w:left w:val="nil"/>
          <w:bottom w:val="nil"/>
          <w:right w:val="nil"/>
          <w:between w:val="nil"/>
        </w:pBdr>
        <w:spacing w:line="360" w:lineRule="auto"/>
        <w:rPr>
          <w:rFonts w:ascii="Arial" w:eastAsia="Arial" w:hAnsi="Arial" w:cs="Arial"/>
          <w:sz w:val="20"/>
        </w:rPr>
      </w:pPr>
      <w:bookmarkStart w:id="44" w:name="_heading=h.a3mk5zkfqhru" w:colFirst="0" w:colLast="0"/>
      <w:bookmarkEnd w:id="44"/>
      <w:r w:rsidRPr="006D15B2">
        <w:rPr>
          <w:rFonts w:ascii="Arial" w:eastAsia="Arial" w:hAnsi="Arial" w:cs="Arial"/>
          <w:sz w:val="20"/>
        </w:rPr>
        <w:t>Glavno statističko ograničenje pronađenih rezultata je da koeficijent kontigencije (Cramerov V) nije bio visok što sugerira da varijable koje su doveden u odnos nisu izrazito jako povezane. Iz toga se može zaključiti da bi trebale postojati varijable koje bi mogle bolje prediktirati odgovore na postavljena pitanja. Također postoje određena ograničenja u uzorkovanju (koje nije bilo probabilističko nego prigodno) te u ꭓ</w:t>
      </w:r>
      <w:r w:rsidRPr="006D15B2">
        <w:rPr>
          <w:rFonts w:ascii="Arial" w:eastAsia="Arial" w:hAnsi="Arial" w:cs="Arial"/>
          <w:sz w:val="20"/>
          <w:vertAlign w:val="superscript"/>
        </w:rPr>
        <w:t>2</w:t>
      </w:r>
      <w:r w:rsidRPr="006D15B2">
        <w:rPr>
          <w:rFonts w:ascii="Arial" w:eastAsia="Arial" w:hAnsi="Arial" w:cs="Arial"/>
          <w:sz w:val="20"/>
        </w:rPr>
        <w:t xml:space="preserve">-testu kao neparametrijskom testu (naspram parametrijskih testova). Prilikom određivanja statističke značajnosti određenih razlika, također je postojao i problem tzv. “mršavih” ćelija koje su pojedinim tablicama kontingencije postojale, ali ni u jednoj statistički značajnoj razlici nije ih bilo više od 20% (što je u skladu s tzv. “mekim pravilom” ). Iako nije nađena niti jedna statistički značajna razlika prema gradu studiranja, jedan od razloga za njihov nedostatak može biti u tome što u ispitivanom uzorku gradovi nisu bili jednako zastupljeni što je smanjilo mogućnost pronalaska statistički značajne razlike prema gradovima. </w:t>
      </w:r>
    </w:p>
    <w:p w14:paraId="7F3B14E5" w14:textId="77777777" w:rsidR="00076856" w:rsidRPr="0075286B" w:rsidRDefault="00DE4299" w:rsidP="00756C58">
      <w:pPr>
        <w:pStyle w:val="Heading2"/>
        <w:numPr>
          <w:ilvl w:val="1"/>
          <w:numId w:val="4"/>
        </w:numPr>
        <w:spacing w:line="360" w:lineRule="auto"/>
        <w:ind w:firstLine="0"/>
        <w:rPr>
          <w:rFonts w:ascii="Arial" w:eastAsia="Arial" w:hAnsi="Arial" w:cs="Arial"/>
          <w:sz w:val="24"/>
          <w:szCs w:val="24"/>
        </w:rPr>
      </w:pPr>
      <w:bookmarkStart w:id="45" w:name="_heading=h.6pqks4f85yuw" w:colFirst="0" w:colLast="0"/>
      <w:bookmarkStart w:id="46" w:name="_Toc75635814"/>
      <w:bookmarkEnd w:id="45"/>
      <w:r w:rsidRPr="0075286B">
        <w:rPr>
          <w:rFonts w:ascii="Arial" w:eastAsia="Arial" w:hAnsi="Arial" w:cs="Arial"/>
          <w:sz w:val="24"/>
          <w:szCs w:val="24"/>
        </w:rPr>
        <w:lastRenderedPageBreak/>
        <w:t>Praktične implikacije istraživanja</w:t>
      </w:r>
      <w:bookmarkEnd w:id="46"/>
    </w:p>
    <w:p w14:paraId="189DA189" w14:textId="3A16E372" w:rsidR="00076856" w:rsidRPr="006D15B2" w:rsidRDefault="00DE4299" w:rsidP="00756C58">
      <w:pPr>
        <w:pBdr>
          <w:top w:val="nil"/>
          <w:left w:val="nil"/>
          <w:bottom w:val="nil"/>
          <w:right w:val="nil"/>
          <w:between w:val="nil"/>
        </w:pBdr>
        <w:spacing w:line="360" w:lineRule="auto"/>
        <w:jc w:val="both"/>
        <w:rPr>
          <w:rFonts w:ascii="Arial" w:eastAsia="Arial" w:hAnsi="Arial" w:cs="Arial"/>
          <w:sz w:val="20"/>
        </w:rPr>
      </w:pPr>
      <w:r w:rsidRPr="006D15B2">
        <w:rPr>
          <w:rFonts w:ascii="Arial" w:eastAsia="Arial" w:hAnsi="Arial" w:cs="Arial"/>
          <w:sz w:val="20"/>
        </w:rPr>
        <w:t xml:space="preserve">Kako bi se ciljano provele djelotvorne javnozdravstvene intervencije u vidu kampanja ili legislativa, bitno je poznavanje obrazaca ponašanja i stavova ciljanih skupina. Ovim radom smo pokazali da studenti medicine mogu predstavljati zaseban entitet u odnosu na studente ostalih studija. Isto tako smo uočili da postoje spolno uvjetovane razlike, ponajviše u stavu prema prihvaćanju lijekova. </w:t>
      </w:r>
      <w:r w:rsidR="008C6F65">
        <w:t>Ciljana intervencija za prestanak pušenja uvjetovana uzimanjem lijekova trebala bi pokazati najbolji učinak među studentima medicine i studentima muškog spola, dok bi ostale skupine prethodno trebale biti podvrgnute kampanji koja bi pozitivno modulirala njihov stav.</w:t>
      </w:r>
    </w:p>
    <w:p w14:paraId="724AC07C" w14:textId="33B6B4CD" w:rsidR="00076856" w:rsidRPr="006D15B2" w:rsidRDefault="00DE4299" w:rsidP="00756C58">
      <w:pPr>
        <w:spacing w:before="240" w:after="240" w:line="360" w:lineRule="auto"/>
        <w:jc w:val="both"/>
        <w:rPr>
          <w:rFonts w:ascii="Arial" w:eastAsia="Arial" w:hAnsi="Arial" w:cs="Arial"/>
          <w:sz w:val="20"/>
        </w:rPr>
      </w:pPr>
      <w:r w:rsidRPr="006D15B2">
        <w:rPr>
          <w:rFonts w:ascii="Arial" w:eastAsia="Arial" w:hAnsi="Arial" w:cs="Arial"/>
          <w:sz w:val="20"/>
        </w:rPr>
        <w:t xml:space="preserve">Pasivno pušenje i dalje je velik problem zbog društvenih normi u kojima je pušenje i dalje u velikoj mjeri društveno prihvatljivo ponašanje, pogotovo u kafićima, klubovima i drugim mjestima gdje se okupljaju mladi. Unatoč skoro općenitom slaganju da pasivno pušenje šteti zdravlju, prethodno istraživanje je pokazalo da bi samo 41% studenata medicine podržalo potpunu zabranu pušenja u kafićima, klubovima i pivnicama. Polovica (50,4%) anketiranih studenata medicine u Hrvatskoj navela je kako su kod kuće bili izloženi pasivnom pušenju, a preko 95% na javnom mjestu tijekom barem jednog dana u zadnjih 7 dana </w:t>
      </w:r>
      <w:r w:rsidR="00D416AD">
        <w:rPr>
          <w:rFonts w:ascii="Arial" w:eastAsia="Arial" w:hAnsi="Arial" w:cs="Arial"/>
          <w:sz w:val="20"/>
        </w:rPr>
        <w:fldChar w:fldCharType="begin" w:fldLock="1"/>
      </w:r>
      <w:r w:rsidR="007508FC">
        <w:rPr>
          <w:rFonts w:ascii="Arial" w:eastAsia="Arial" w:hAnsi="Arial" w:cs="Arial"/>
          <w:sz w:val="20"/>
        </w:rPr>
        <w:instrText xml:space="preserve"> ADDIN ZOTERO_ITEM CSL_CITATION {"citationID":"H1JkYHku","properties":{"formattedCitation":"(36)","plainCitation":"(36)","noteIndex":0},"citationItems":[{"id":"YlNUCLkK/WQv3brLt","uris":["http://www.mendeley.com/documents/?uuid=3624c363-b548-4095-95c3-5c2fb141baac"],"uri":["http://www.mendeley.com/documents/?uuid=3624c363-b548-4095-95c3-5c2fb141baac"],"itemData":{"DOI":"10.1016/j.puhe.2008.05.017","ISSN":"00333506","PMID":"18922553","author":[{"dropping-particle":"","family":"Ljubicic","given":"D.","non-dropping-particle":"","parse-names":false,"suffix":""},{"dropping-particle":"","family":"Schneider","given":"N. K.","non-dropping-particle":"","parse-names":false,"suffix":""},{"dropping-particle":"","family":"Vrazic","given":"H.","non-dropping-particle":"","parse-names":false,"suffix":""}],"container-title":"Public Health","id":"ITEM-1","issue":"12","issued":{"date-parts":[["2008"]]},"page":"1339-1342","publisher":"The Royal Institute of Public Health","title":"Attitudes and knowledge of third year medical students in Croatia about tobacco control strategies: results of the Global Health Professionals Pilot Survey in Croatia, 2005","type":"article-journal","volume":"122"}}],"schema":"https://github.com/citation-style-language/schema/raw/master/csl-citation.json"} </w:instrText>
      </w:r>
      <w:r w:rsidR="00D416AD">
        <w:rPr>
          <w:rFonts w:ascii="Arial" w:eastAsia="Arial" w:hAnsi="Arial" w:cs="Arial"/>
          <w:sz w:val="20"/>
        </w:rPr>
        <w:fldChar w:fldCharType="separate"/>
      </w:r>
      <w:r w:rsidR="007508FC" w:rsidRPr="007508FC">
        <w:rPr>
          <w:rFonts w:ascii="Arial" w:hAnsi="Arial" w:cs="Arial"/>
          <w:sz w:val="20"/>
        </w:rPr>
        <w:t>(36)</w:t>
      </w:r>
      <w:r w:rsidR="00D416AD">
        <w:rPr>
          <w:rFonts w:ascii="Arial" w:eastAsia="Arial" w:hAnsi="Arial" w:cs="Arial"/>
          <w:sz w:val="20"/>
        </w:rPr>
        <w:fldChar w:fldCharType="end"/>
      </w:r>
      <w:r w:rsidRPr="006D15B2">
        <w:rPr>
          <w:rFonts w:ascii="Arial" w:eastAsia="Arial" w:hAnsi="Arial" w:cs="Arial"/>
          <w:sz w:val="20"/>
        </w:rPr>
        <w:t xml:space="preserve">. Ta je činjenica potencijalno vrlo važan faktor koji koči utjecaj javnozdravstvenih intervencija usmjerenih na suzbijanje pušenja. Dokazano je da okruženje u kojem pojedinac nije izložen pasivnom pušenju, osim što ima povoljan učinak na zdravlje, također pomaže pušaču koji se želi riješiti svoje ovisnosti da u tome i uspije. Sistemni pregled 26 studija koje su se bavile utjecajem "smoke-free" radnih mjesta na pušenje pokazao je da su "smoke-free" radna mjesta povezana sa smanjenjem prevalencije pušenja od 3,8% i sa smanjenjem broja dnevno popušenih cigareta od 3,1 cigarete po glavi redovitog pušača </w:t>
      </w:r>
      <w:r w:rsidR="00D416AD">
        <w:rPr>
          <w:rFonts w:ascii="Arial" w:eastAsia="Arial" w:hAnsi="Arial" w:cs="Arial"/>
          <w:sz w:val="20"/>
        </w:rPr>
        <w:fldChar w:fldCharType="begin" w:fldLock="1"/>
      </w:r>
      <w:r w:rsidR="007508FC">
        <w:rPr>
          <w:rFonts w:ascii="Arial" w:eastAsia="Arial" w:hAnsi="Arial" w:cs="Arial"/>
          <w:sz w:val="20"/>
        </w:rPr>
        <w:instrText xml:space="preserve"> ADDIN ZOTERO_ITEM CSL_CITATION {"citationID":"5JZlLnVW","properties":{"formattedCitation":"(37)","plainCitation":"(37)","noteIndex":0},"citationItems":[{"id":"YlNUCLkK/br3wYBAs","uris":["http://www.mendeley.com/documents/?uuid=904b951f-511b-3def-ae8c-5bd7b1a18c6a"],"uri":["http://www.mendeley.com/documents/?uuid=904b951f-511b-3def-ae8c-5bd7b1a18c6a"],"itemData":{"DOI":"10.1136/bmj.325.7357.188","ISSN":"09598146","PMID":"12142305","abstract":"Objective: To quantify the effects of smoke-free workplaces on smoking in employees and compare these effects to those achieved through tax increases. Design: Systematic review with a random effects meta-analysis. Study selection: 26 studies on the effects of smoke-free workplaces. Setting: Workplaces in the United States, Australia, Canada, and Germany. Participants: Employees in unrestricted and totally smoke-free workplaces. Main outcome measures: Daily cigarette consumption (per smoker and per employee) and smoking prevalence. Results: Totally smoke-free workplaces are associated with reductions in prevalence of smoking of 3.8% (95% confidence interval 2.8% to 4.7%) and 3.1 (2.4 to 3.8) fewer cigarettes smoked per day per continuing smoker. Combination of the effects of reduced prevalence and lower consumption per continuing smoker yields a mean reduction of 1.3 cigarettes per day per employee, which corresponds to a relative reduction of 29%. To achieve similar reductions the tax on a pack of cigarettes would have to increase from $0.76 to $3.05 (€0.78 to €3.14) in the United States and from £3.44 to £6.59 (€5.32 to €10.20) in the United Kingdom. If all workplaces became smoke-free, consumption per capita in the entire population would drop by 4.5% in the United States and 7.6% in the United Kingdom, costing the tobacco industry $1.7 billion and £310 million annually in lost sales. To achieve similar reductions mx per pack would have to increase to $1.11 and £4.26. Conclusions: Smoke-free workplaces not only protect non-smokers from the dangers of passive smoking, they also encourage smokers to quit or to reduce consumption.","author":[{"dropping-particle":"","family":"Fichtenberg","given":"Caroline M.","non-dropping-particle":"","parse-names":false,"suffix":""},{"dropping-particle":"","family":"Glantz","given":"Stanton A.","non-dropping-particle":"","parse-names":false,"suffix":""}],"container-title":"British Medical Journal","id":"ITEM-1","issue":"7357","issued":{"date-parts":[["2002","7","27"]]},"page":"188-191","publisher":"BMJ","title":"Effect of smoke-free workplaces on smoking behaviour: Systematic review","type":"article","volume":"325"}}],"schema":"https://github.com/citation-style-language/schema/raw/master/csl-citation.json"} </w:instrText>
      </w:r>
      <w:r w:rsidR="00D416AD">
        <w:rPr>
          <w:rFonts w:ascii="Arial" w:eastAsia="Arial" w:hAnsi="Arial" w:cs="Arial"/>
          <w:sz w:val="20"/>
        </w:rPr>
        <w:fldChar w:fldCharType="separate"/>
      </w:r>
      <w:r w:rsidR="007508FC" w:rsidRPr="007508FC">
        <w:rPr>
          <w:rFonts w:ascii="Arial" w:hAnsi="Arial" w:cs="Arial"/>
          <w:sz w:val="20"/>
        </w:rPr>
        <w:t>(37)</w:t>
      </w:r>
      <w:r w:rsidR="00D416AD">
        <w:rPr>
          <w:rFonts w:ascii="Arial" w:eastAsia="Arial" w:hAnsi="Arial" w:cs="Arial"/>
          <w:sz w:val="20"/>
        </w:rPr>
        <w:fldChar w:fldCharType="end"/>
      </w:r>
      <w:r w:rsidRPr="006D15B2">
        <w:rPr>
          <w:rFonts w:ascii="Arial" w:eastAsia="Arial" w:hAnsi="Arial" w:cs="Arial"/>
          <w:sz w:val="20"/>
        </w:rPr>
        <w:t xml:space="preserve">. </w:t>
      </w:r>
    </w:p>
    <w:p w14:paraId="38C74C55" w14:textId="4FB261CF" w:rsidR="00076856" w:rsidRPr="006D15B2" w:rsidRDefault="00DE4299" w:rsidP="00756C58">
      <w:pPr>
        <w:spacing w:before="240" w:after="240" w:line="360" w:lineRule="auto"/>
        <w:jc w:val="both"/>
        <w:rPr>
          <w:rFonts w:ascii="Arial" w:eastAsia="Arial" w:hAnsi="Arial" w:cs="Arial"/>
          <w:sz w:val="20"/>
        </w:rPr>
      </w:pPr>
      <w:r w:rsidRPr="006D15B2">
        <w:rPr>
          <w:rFonts w:ascii="Arial" w:eastAsia="Arial" w:hAnsi="Arial" w:cs="Arial"/>
          <w:sz w:val="20"/>
        </w:rPr>
        <w:t xml:space="preserve">Brojna istraživanja pokazala su da pušenje kod zdravstvenih profesionalaca ima velik utjecaj na njihove sposobnosti suzbijanja pušenja među svojim pacijentima. Zdravstveni profesionalci koji puše u većoj mjeri podcjenjuju štetnost pušenja po zdravlje, u manjoj mjeri smatraju prestanak pušenja kao prioritet za očuvanje zdravlja svojih pacijenata, u manjoj mjeri vjeruju da će njihova intervencija imati ikakav utjecaj na pušačke navike pacijenta te u manjoj mjeri nude pomoć u prestanku pušenja svojim pacijentima </w:t>
      </w:r>
      <w:r w:rsidR="005C3838">
        <w:rPr>
          <w:rFonts w:ascii="Arial" w:eastAsia="Arial" w:hAnsi="Arial" w:cs="Arial"/>
          <w:sz w:val="20"/>
        </w:rPr>
        <w:fldChar w:fldCharType="begin" w:fldLock="1"/>
      </w:r>
      <w:r w:rsidR="007508FC">
        <w:rPr>
          <w:rFonts w:ascii="Arial" w:eastAsia="Arial" w:hAnsi="Arial" w:cs="Arial"/>
          <w:sz w:val="20"/>
        </w:rPr>
        <w:instrText xml:space="preserve"> ADDIN ZOTERO_ITEM CSL_CITATION {"citationID":"gbvS4MHL","properties":{"formattedCitation":"(38)","plainCitation":"(38)","noteIndex":0},"citationItems":[{"id":"YlNUCLkK/qIveygex","uris":["http://www.mendeley.com/documents/?uuid=bf028daa-84fa-4fe2-ae58-bd4ef41ac97b"],"uri":["http://www.mendeley.com/documents/?uuid=bf028daa-84fa-4fe2-ae58-bd4ef41ac97b"],"itemData":{"DOI":"10.1016/j.pec.2008.07.042","ISSN":"07383991","PMID":"18774670","abstract":"Objective: The smoking status of physicians can impact interactions with patients about smoking. The 'Smoking: The Opinions of Physicians' (STOP) survey examined whether an association existed between physician smoking status and beliefs about smoking and cessation and a physician's clinical interactions with patients relevant to smoking cessation, and perceptions of barriers to assisting with quitting. Methods: General and family practitioners across 16 countries were surveyed via telephone or face-to-face interviews using a convenience-sample methodology. Physician smoking status was self-reported. Results: Of 4473 physicians invited, 2836 (63%) participated in the survey, 1200 (42%) of whom were smokers. Significantly fewer smoking than non-smoking physicians volunteered that smoking was a harmful activity (64% vs 77%; P &lt; 0.001). More non-smokers agreed that smoking cessation was the single biggest step to improving health (88% vs 82%; P &lt; 0.001) and discussed smoking at every visit (45% vs 34%; P &lt; 0.001). Although more non-smoking physicians identified willpower (37% vs 32%; P &lt; 0.001) and lack of interest (28% vs 22%; P &lt; 0.001) as barriers to quitting, more smoking physicians saw stress as a barrier (16% vs 10%; P &lt; 0.001). Conclusion: Smoking physicians are less likely to initiate cessation interventions. Practice implications: There is a need for specific strategies to encourage smoking physicians to quit, and to motivate all practitioners to adopt systematic approaches to assisting with smoking cessation. © 2008 Elsevier Ireland Ltd. All rights reserved.","author":[{"dropping-particle":"","family":"Pipe","given":"Andrew","non-dropping-particle":"","parse-names":false,"suffix":""},{"dropping-particle":"","family":"Sorensen","given":"Michelle","non-dropping-particle":"","parse-names":false,"suffix":""},{"dropping-particle":"","family":"Reid","given":"Robert","non-dropping-particle":"","parse-names":false,"suffix":""}],"container-title":"Patient Education and Counseling","id":"ITEM-1","issue":"1","issued":{"date-parts":[["2009"]]},"page":"118-123","title":"Physician smoking status, attitudes toward smoking, and cessation advice to patients: An international survey","type":"article-journal","volume":"74"}}],"schema":"https://github.com/citation-style-language/schema/raw/master/csl-citation.json"} </w:instrText>
      </w:r>
      <w:r w:rsidR="005C3838">
        <w:rPr>
          <w:rFonts w:ascii="Arial" w:eastAsia="Arial" w:hAnsi="Arial" w:cs="Arial"/>
          <w:sz w:val="20"/>
        </w:rPr>
        <w:fldChar w:fldCharType="separate"/>
      </w:r>
      <w:r w:rsidR="007508FC" w:rsidRPr="007508FC">
        <w:rPr>
          <w:rFonts w:ascii="Arial" w:hAnsi="Arial" w:cs="Arial"/>
          <w:sz w:val="20"/>
        </w:rPr>
        <w:t>(38)</w:t>
      </w:r>
      <w:r w:rsidR="005C3838">
        <w:rPr>
          <w:rFonts w:ascii="Arial" w:eastAsia="Arial" w:hAnsi="Arial" w:cs="Arial"/>
          <w:sz w:val="20"/>
        </w:rPr>
        <w:fldChar w:fldCharType="end"/>
      </w:r>
      <w:r w:rsidRPr="006D15B2">
        <w:rPr>
          <w:rFonts w:ascii="Arial" w:eastAsia="Arial" w:hAnsi="Arial" w:cs="Arial"/>
          <w:sz w:val="20"/>
        </w:rPr>
        <w:t xml:space="preserve">. Zanimljiv je podatak da čak i studenti koji svakodnevno puše u manjoj mjeri smatraju tu činjenicu problematičnom </w:t>
      </w:r>
      <w:r w:rsidR="005C3838">
        <w:rPr>
          <w:rFonts w:ascii="Arial" w:eastAsia="Arial" w:hAnsi="Arial" w:cs="Arial"/>
          <w:sz w:val="20"/>
        </w:rPr>
        <w:fldChar w:fldCharType="begin" w:fldLock="1"/>
      </w:r>
      <w:r w:rsidR="007508FC">
        <w:rPr>
          <w:rFonts w:ascii="Arial" w:eastAsia="Arial" w:hAnsi="Arial" w:cs="Arial"/>
          <w:sz w:val="20"/>
        </w:rPr>
        <w:instrText xml:space="preserve"> ADDIN ZOTERO_ITEM CSL_CITATION {"citationID":"nlAOYbU6","properties":{"formattedCitation":"(17)","plainCitation":"(17)","noteIndex":0},"citationItems":[{"id":"YlNUCLkK/EUUSGAzK","uris":["http://www.mendeley.com/documents/?uuid=bbb763d0-fe31-4672-9ed9-94b27d25c59c"],"uri":["http://www.mendeley.com/documents/?uuid=bbb763d0-fe31-4672-9ed9-94b27d25c59c"],"itemData":{"DOI":"10.1111/medu.12145","ISSN":"03080110","PMID":"23662878","abstract":"Despite their important roles as future doctors in tobacco cessation counselling, the high prevalence of tobacco use among medical students may hinder them from advocating tobacco control policies and providing cessation counselling. Promoting this role among medical students is especially important in low- and middle-income countries with high burdens of tobacco use but limited resources for cessation programmes. This study examined the associations between medical students' tobacco use and their attitudes towards tobacco control policies and the roles of health professionals in the provision of tobacco cessation advice. Methods: This cross-sectional study included data from the large multi-country dataset generated by the Global Health Professions Student Survey, 2005-2008 (n = 36 533 medical students). Thirteen binary dependent variables related to medical students' attitudes towards tobacco control policies and the health professional's role in cessation counselling were examined using random-effects logistic regression, with tobacco use status as the key explanatory variable. Covariates included gender, receipt of cessation training, country-level and gender-specific smoking prevalence, region, and country income group. Results: Current tobacco use was consistently associated with less favourable attitudes towards tobacco control policy and cessation advice. Compared with never users, daily users were less likely to agree that the sale of tobacco products to adolescents should be banned (odds ratio [OR] 0.45, 95% confidence interval [CI] 0.39-0.58) and that health professionals should routinely advise patients to quit smoking (OR = 0.48, 95% CI 0.41-0.52) or other forms of tobacco use (OR = 0.84, 95% CI 0.72-0.97). Daily users were less likely to agree that health professionals who smoke are less likely to advise patients to stop smoking (OR = 0.44, 95% CI 0.39-0.41). Conclusions: Medical schools may benefit from a thorough re-evaluation of the scope of tobacco cessation training in their curricula in order to support students in smoking cessation and to shape their attitudes towards tobacco control. Targeting medical students who are current tobacco users in tobacco control efforts may be beneficial, given the cost-effectiveness of providing cessation advice. Discuss ideas arising from the article at 'discuss' © 2013 John Wiley &amp; Sons Ltd.","author":[{"dropping-particle":"","family":"Do","given":"Young Kyung","non-dropping-particle":"","parse-names":false,"suffix":""},{"dropping-particle":"","family":"Bautista","given":"Mary Ann","non-dropping-particle":"","parse-names":false,"suffix":""}],"container-title":"Medical Education","id":"ITEM-1","issue":"6","issued":{"date-parts":[["2013"]]},"page":"607-616","title":"Medical students' tobacco use and attitudes towards tobacco control","type":"article-journal","volume":"47"}}],"schema":"https://github.com/citation-style-language/schema/raw/master/csl-citation.json"} </w:instrText>
      </w:r>
      <w:r w:rsidR="005C3838">
        <w:rPr>
          <w:rFonts w:ascii="Arial" w:eastAsia="Arial" w:hAnsi="Arial" w:cs="Arial"/>
          <w:sz w:val="20"/>
        </w:rPr>
        <w:fldChar w:fldCharType="separate"/>
      </w:r>
      <w:r w:rsidR="007508FC" w:rsidRPr="007508FC">
        <w:rPr>
          <w:rFonts w:ascii="Arial" w:hAnsi="Arial" w:cs="Arial"/>
          <w:sz w:val="20"/>
        </w:rPr>
        <w:t>(17)</w:t>
      </w:r>
      <w:r w:rsidR="005C3838">
        <w:rPr>
          <w:rFonts w:ascii="Arial" w:eastAsia="Arial" w:hAnsi="Arial" w:cs="Arial"/>
          <w:sz w:val="20"/>
        </w:rPr>
        <w:fldChar w:fldCharType="end"/>
      </w:r>
      <w:r w:rsidRPr="006D15B2">
        <w:rPr>
          <w:rFonts w:ascii="Arial" w:eastAsia="Arial" w:hAnsi="Arial" w:cs="Arial"/>
          <w:sz w:val="20"/>
        </w:rPr>
        <w:t xml:space="preserve"> te je pokazano da pušenje studente čini sklonijima podcjenjivanju štetnosti pušenja po zdravlje. Naime, manji je postotak studenata stomatologije koji su pušači u usporedbi svojim kolegama nepušačima označio prestanak pušenja kao važnu mjeru za prevenciju raka usne šupljine </w:t>
      </w:r>
      <w:r w:rsidR="005C3838">
        <w:rPr>
          <w:rFonts w:ascii="Arial" w:eastAsia="Arial" w:hAnsi="Arial" w:cs="Arial"/>
          <w:sz w:val="20"/>
        </w:rPr>
        <w:fldChar w:fldCharType="begin" w:fldLock="1"/>
      </w:r>
      <w:r w:rsidR="007508FC">
        <w:rPr>
          <w:rFonts w:ascii="Arial" w:eastAsia="Arial" w:hAnsi="Arial" w:cs="Arial"/>
          <w:sz w:val="20"/>
        </w:rPr>
        <w:instrText xml:space="preserve"> ADDIN ZOTERO_ITEM CSL_CITATION {"citationID":"KXoU60BC","properties":{"formattedCitation":"(39)","plainCitation":"(39)","noteIndex":0},"citationItems":[{"id":"YlNUCLkK/NrYnsq4F","uris":["http://www.mendeley.com/documents/?uuid=27e49b6e-c290-4008-92e6-9e3a062af05a"],"uri":["http://www.mendeley.com/documents/?uuid=27e49b6e-c290-4008-92e6-9e3a062af05a"],"itemData":{"DOI":"10.15644/asc52/4/8","ISSN":"18460410","abstract":"Background: The literature data show insufficient knowledge and awareness about oral cancer among dental and medical students. Objective: To assess the knowledge of graduating dental students regarding oral cancer and to assess their awareness regarding the prevention and early detection of oral cancer. Also student’s smoking status was examined aimed to investigate their attitude towards smoking as a risk factor for development of oral cancer and to assess the prevalence of smoking among dental students. Subjects and Methods: The study group consisted of 83 students of the fourth and fifth years of dental medicine study who answered the questions written in the original 16-item questionnaire. Results: More than half of the students considered their knowledge to be good, a quarter of them regarded their knowledge as being poor. Almost 16% of students considered their knowledge to be very good, whereas only two students rated their knowledge as ‘excellent’. Students of the fifth year were more likely to be smokers compared to fourth year students (39.5% vs. 22.5%). Higher percentage of non-smokers than smokers had marked ‘stop smoking’ as an important preventive measure (non-smokers 91.2%, smokers 84.3%, p = 0.01). Conclusion: Majority of the students of fourth and fifth year of study rate their knowledge about oral cancer as good. A large number of students of both years considered hairy leukoplakia a potentially malignant disorder. Students non smokers recognize “stop smoking” as an important preventive measure unlike students smokers who show a more realistic attitude towards smoking as a risk factor for oral cancer.","author":[{"dropping-particle":"","family":"Radman","given":"Maria","non-dropping-particle":"","parse-names":false,"suffix":""},{"dropping-particle":"","family":"Glavina","given":"Ana","non-dropping-particle":"","parse-names":false,"suffix":""},{"dropping-particle":"","family":"Sabol","given":"Ivan","non-dropping-particle":"","parse-names":false,"suffix":""},{"dropping-particle":"","family":"Mravak-Stipetić","given":"Marinka","non-dropping-particle":"","parse-names":false,"suffix":""}],"container-title":"Acta Stomatologica Croatica","id":"ITEM-1","issue":"4","issued":{"date-parts":[["2018"]]},"page":"340-347","title":"Knowledge of oral cancer among the fourth and fifth year dental students","type":"article-journal","volume":"52"}}],"schema":"https://github.com/citation-style-language/schema/raw/master/csl-citation.json"} </w:instrText>
      </w:r>
      <w:r w:rsidR="005C3838">
        <w:rPr>
          <w:rFonts w:ascii="Arial" w:eastAsia="Arial" w:hAnsi="Arial" w:cs="Arial"/>
          <w:sz w:val="20"/>
        </w:rPr>
        <w:fldChar w:fldCharType="separate"/>
      </w:r>
      <w:r w:rsidR="007508FC" w:rsidRPr="007508FC">
        <w:rPr>
          <w:rFonts w:ascii="Arial" w:hAnsi="Arial" w:cs="Arial"/>
          <w:sz w:val="20"/>
        </w:rPr>
        <w:t>(39)</w:t>
      </w:r>
      <w:r w:rsidR="005C3838">
        <w:rPr>
          <w:rFonts w:ascii="Arial" w:eastAsia="Arial" w:hAnsi="Arial" w:cs="Arial"/>
          <w:sz w:val="20"/>
        </w:rPr>
        <w:fldChar w:fldCharType="end"/>
      </w:r>
      <w:r w:rsidRPr="006D15B2">
        <w:rPr>
          <w:rFonts w:ascii="Arial" w:eastAsia="Arial" w:hAnsi="Arial" w:cs="Arial"/>
          <w:sz w:val="20"/>
        </w:rPr>
        <w:t>. Ovi su podaci zabrinjavajući i mogli bi biti negativan pretkazatelj kvalitete pomoći u prestanku pušenja koju će studenti pušači jednog dana pružati svojim pacijentima kada postanu zdravstveni profesionalci.</w:t>
      </w:r>
    </w:p>
    <w:p w14:paraId="50C83950" w14:textId="73A38474" w:rsidR="00076856" w:rsidRPr="006D15B2" w:rsidRDefault="00DE4299" w:rsidP="00756C58">
      <w:pPr>
        <w:spacing w:before="240" w:after="240" w:line="360" w:lineRule="auto"/>
        <w:jc w:val="both"/>
        <w:rPr>
          <w:rFonts w:ascii="Arial" w:eastAsia="Arial" w:hAnsi="Arial" w:cs="Arial"/>
          <w:sz w:val="20"/>
        </w:rPr>
      </w:pPr>
      <w:r w:rsidRPr="006D15B2">
        <w:rPr>
          <w:rFonts w:ascii="Arial" w:eastAsia="Arial" w:hAnsi="Arial" w:cs="Arial"/>
          <w:sz w:val="20"/>
        </w:rPr>
        <w:t xml:space="preserve">Adolescentska populacija pušača karakteristična je po tome što su većina povremeni pušači </w:t>
      </w:r>
      <w:r w:rsidR="005C3838">
        <w:rPr>
          <w:rFonts w:ascii="Arial" w:eastAsia="Arial" w:hAnsi="Arial" w:cs="Arial"/>
          <w:sz w:val="20"/>
        </w:rPr>
        <w:fldChar w:fldCharType="begin" w:fldLock="1"/>
      </w:r>
      <w:r w:rsidR="007508FC">
        <w:rPr>
          <w:rFonts w:ascii="Arial" w:eastAsia="Arial" w:hAnsi="Arial" w:cs="Arial"/>
          <w:sz w:val="20"/>
        </w:rPr>
        <w:instrText xml:space="preserve"> ADDIN ZOTERO_ITEM CSL_CITATION {"citationID":"gwlLljQC","properties":{"formattedCitation":"(15)","plainCitation":"(15)","noteIndex":0},"citationItems":[{"id":"YlNUCLkK/je3fgjyr","uris":["http://www.mendeley.com/documents/?uuid=a2970734-3b0b-4da5-8a45-33d904581eb1"],"uri":["http://www.mendeley.com/documents/?uuid=a2970734-3b0b-4da5-8a45-33d904581eb1"],"itemData":{"DOI":"10.1080/14622200701704202","ISSN":"14622203","PMID":"18188747","abstract":"Tobacco use among college students increased substantially during the 1990s. Better understanding of college smokers is warranted to develop interventions specific to the needs of this population. We examined sociodemographic and tobacco-use characteristics associated with self-identification as a regular smoker and intentions to quit smoking among college students who smoke cigarettes. We conducted logistic regression analysis on baseline survey data from the Campus Health Action on Tobacco study, a 4-year group-randomized trial at 30 four-year colleges in Washington, Oregon, and Idaho. Students who self-identified as a regular smoker smoked more cigarettes before starting college, smoked a greater number of cigarettes the prior 30 days, smoked more cigarettes per day, and were more likely to smoke within 30 min of waking up, compared with students who were current smokers but did not consider themselves regular smokers. Females, older students, and those who had decreased the amount they smoked since coming to college were more likely to want to quit \"very much.\" Females and students in early college years were more likely to be planning to quit before graduation, as were students who had decreased the amount they smoked since coming to college. Interventions should target students who are in their early college years, given that habits prior to college, changes in smoking habits while in college, and year in college are associated with students' self-identification as a regular smoker, desire to quit smoking, or plan to quit smoking while in college.","author":[{"dropping-particle":"","family":"Harris","given":"Jennifer B.","non-dropping-particle":"","parse-names":false,"suffix":""},{"dropping-particle":"","family":"Schwartz","given":"Stephen M.","non-dropping-particle":"","parse-names":false,"suffix":""},{"dropping-particle":"","family":"Thompson","given":"Beti","non-dropping-particle":"","parse-names":false,"suffix":""}],"container-title":"Nicotine and Tobacco Research","id":"ITEM-1","issue":"1","issued":{"date-parts":[["2008"]]},"page":"69-76","title":"Characteristics associated with self-identification as a regular smoker and desire to quit among college students who smoke cigarettes","type":"article-journal","volume":"10"}}],"schema":"https://github.com/citation-style-language/schema/raw/master/csl-citation.json"} </w:instrText>
      </w:r>
      <w:r w:rsidR="005C3838">
        <w:rPr>
          <w:rFonts w:ascii="Arial" w:eastAsia="Arial" w:hAnsi="Arial" w:cs="Arial"/>
          <w:sz w:val="20"/>
        </w:rPr>
        <w:fldChar w:fldCharType="separate"/>
      </w:r>
      <w:r w:rsidR="007508FC" w:rsidRPr="007508FC">
        <w:rPr>
          <w:rFonts w:ascii="Arial" w:hAnsi="Arial" w:cs="Arial"/>
          <w:sz w:val="20"/>
        </w:rPr>
        <w:t>(15)</w:t>
      </w:r>
      <w:r w:rsidR="005C3838">
        <w:rPr>
          <w:rFonts w:ascii="Arial" w:eastAsia="Arial" w:hAnsi="Arial" w:cs="Arial"/>
          <w:sz w:val="20"/>
        </w:rPr>
        <w:fldChar w:fldCharType="end"/>
      </w:r>
      <w:r w:rsidRPr="006D15B2">
        <w:rPr>
          <w:rFonts w:ascii="Arial" w:eastAsia="Arial" w:hAnsi="Arial" w:cs="Arial"/>
          <w:sz w:val="20"/>
        </w:rPr>
        <w:t xml:space="preserve">. Također većina pušača u toj dobi iskazuje veliku želju za prestankom pušenja </w:t>
      </w:r>
      <w:r w:rsidR="005C3838">
        <w:rPr>
          <w:rFonts w:ascii="Arial" w:eastAsia="Arial" w:hAnsi="Arial" w:cs="Arial"/>
          <w:sz w:val="20"/>
        </w:rPr>
        <w:fldChar w:fldCharType="begin" w:fldLock="1"/>
      </w:r>
      <w:r w:rsidR="007508FC">
        <w:rPr>
          <w:rFonts w:ascii="Arial" w:eastAsia="Arial" w:hAnsi="Arial" w:cs="Arial"/>
          <w:sz w:val="20"/>
        </w:rPr>
        <w:instrText xml:space="preserve"> ADDIN ZOTERO_ITEM CSL_CITATION {"citationID":"Lr2wa6Xk","properties":{"formattedCitation":"(16)","plainCitation":"(16)","noteIndex":0},"citationItems":[{"id":"YlNUCLkK/3Q6qgFGn","uris":["http://www.mendeley.com/documents/?uuid=da46c913-068b-3964-8c30-3769c33e758f"],"uri":["http://www.mendeley.com/documents/?uuid=da46c913-068b-3964-8c30-3769c33e758f"],"itemData":{"DOI":"10.1186/1471-2458-11-72","ISSN":"14712458","PMID":"21284864","abstract":"Background. GHPSS is a school-based survey that collects self-administered data from students in regular classroom settings. GHPSS produces representative data at the national or city level in each country. This study aims to investigate the prevalence of tobacco use, exposure to secondhand smoke, and cessation counseling among medical students using the GHPSS data. Methods. The Global Health Professions Student Survey (GHPSS) was conducted among 3 rd year medical students in 47 countries and the Gaza Strip/West Bank from 2005-2008 to determine the prevalence of tobacco use and amount of formal training in cessation counseling. Results. In 26 of the 48 sites, over 20% of the students currently smoked cigarettes, with males having higher rates than females in 37 sites. Over 70% of students reported having been exposed to secondhand smoke in public places in 29 of 48 sites. The majority of students recognized that they are role models in society (over 80% in 42 of 48 sites), believed they should receive training on counseling patients to quit using tobacco (over 80% in 41 of 48 sites), but few reported receiving formal training (less than 40% in 46 of 48 sites). Conclusion. Tobacco control efforts must discourage tobacco use among health professionals, promote smoke free workplaces, and implement programs that train medical students in effective cessation-counseling techniques. © 2011 Warren et al; licensee BioMed Central Ltd.","author":[{"dropping-particle":"","family":"Warren","given":"Charles W.","non-dropping-particle":"","parse-names":false,"suffix":""},{"dropping-particle":"","family":"Sinha","given":"Dhirendra N.","non-dropping-particle":"","parse-names":false,"suffix":""},{"dropping-particle":"","family":"Lee","given":"Juliette","non-dropping-particle":"","parse-names":false,"suffix":""},{"dropping-particle":"","family":"Lea","given":"Veronica","non-dropping-particle":"","parse-names":false,"suffix":""},{"dropping-particle":"","family":"Jones","given":"Nathan R.","non-dropping-particle":"","parse-names":false,"suffix":""}],"container-title":"BMC Public Health","id":"ITEM-1","issue":"1","issued":{"date-parts":[["2011","2","1"]]},"page":"1-16","publisher":"BioMed Central","title":"Tobacco use, exposure to secondhand smoke, and cessation counseling among medical students: Cross-country data from the Global Health Professions Student Survey (GHPSS), 2005-2008","type":"article-journal","volume":"11"}}],"schema":"https://github.com/citation-style-language/schema/raw/master/csl-citation.json"} </w:instrText>
      </w:r>
      <w:r w:rsidR="005C3838">
        <w:rPr>
          <w:rFonts w:ascii="Arial" w:eastAsia="Arial" w:hAnsi="Arial" w:cs="Arial"/>
          <w:sz w:val="20"/>
        </w:rPr>
        <w:fldChar w:fldCharType="separate"/>
      </w:r>
      <w:r w:rsidR="007508FC" w:rsidRPr="007508FC">
        <w:rPr>
          <w:rFonts w:ascii="Arial" w:hAnsi="Arial" w:cs="Arial"/>
          <w:sz w:val="20"/>
        </w:rPr>
        <w:t>(16)</w:t>
      </w:r>
      <w:r w:rsidR="005C3838">
        <w:rPr>
          <w:rFonts w:ascii="Arial" w:eastAsia="Arial" w:hAnsi="Arial" w:cs="Arial"/>
          <w:sz w:val="20"/>
        </w:rPr>
        <w:fldChar w:fldCharType="end"/>
      </w:r>
      <w:r w:rsidRPr="006D15B2">
        <w:rPr>
          <w:rFonts w:ascii="Arial" w:eastAsia="Arial" w:hAnsi="Arial" w:cs="Arial"/>
          <w:sz w:val="20"/>
        </w:rPr>
        <w:t xml:space="preserve">, ali teorijska edukacija o štetnom utjecaju pušenja na zdravlje nema bitnijeg utjecaja na njihove stavove o pušenju </w:t>
      </w:r>
      <w:r w:rsidR="005C3838">
        <w:rPr>
          <w:rFonts w:ascii="Arial" w:eastAsia="Arial" w:hAnsi="Arial" w:cs="Arial"/>
          <w:sz w:val="20"/>
        </w:rPr>
        <w:fldChar w:fldCharType="begin" w:fldLock="1"/>
      </w:r>
      <w:r w:rsidR="007508FC">
        <w:rPr>
          <w:rFonts w:ascii="Arial" w:eastAsia="Arial" w:hAnsi="Arial" w:cs="Arial"/>
          <w:sz w:val="20"/>
        </w:rPr>
        <w:instrText xml:space="preserve"> ADDIN ZOTERO_ITEM CSL_CITATION {"citationID":"d80qD0fi","properties":{"formattedCitation":"(29)","plainCitation":"(29)","noteIndex":0},"citationItems":[{"id":"YlNUCLkK/ke9NkJ85","uris":["http://www.mendeley.com/documents/?uuid=1eb7177b-eb81-4345-a05f-ed27b7bab900"],"uri":["http://www.mendeley.com/documents/?uuid=1eb7177b-eb81-4345-a05f-ed27b7bab900"],"itemData":{"DOI":"10.1007/s12529-010-9140-7","ISSN":"10705503","PMID":"21246317","abstract":"Background Previous studies in the world reported inconsistent results about the relationship of medical professional education with medical students' smoking behaviors, and no similar research had been published in China. Purpose This paper aims to explore whether the differences of smoking-related knowledge, attitudes, and behaviors existed between medical and non-medical undergraduate students. Methods Eight thousand one hundred thirty-eight undergraduate students sampled from a university in Guangzhou were investigated with a self-administered structured questionnaire about their smoking-related knowledge, attitude and behaviors, and other relevant factors. General linear model and multinomial logistic regression were conducted to test the differences in smoking-related knowledge, attitude, and behaviors between medical and non-medical students while controlling for potential confounding variables. Results There was no difference in smoking-related knowledge scores between medical and non-medical freshmen, but medical sophomores and juniors had higher scores of smoking-related knowledge than their non-medical counterparts. The medical sophomores had higher mean score of attitudes towards smoking than non-medical ones. Before entering university, the difference in the prevalence of experimental and regular smoking between medical and non-medical college students was not significant. After entering university, in contrast, the overall prevalence of regular smoking was significantly higher among male nonmedical college students than among male medical students. Stratified by current academic year, this difference was significant only among male sophomores. Conclusions Medical students have higher smoking-related knowledge, stronger anti-smoking attitude, and lower prevalence of regular smoking than non-medical college students of similar age, which may be associated with medical professional education. © International Society of Behavioral Medicine 2010.","author":[{"dropping-particle":"","family":"Han","given":"Min Yan","non-dropping-particle":"","parse-names":false,"suffix":""},{"dropping-particle":"","family":"Chen","given":"Wei Qing","non-dropping-particle":"","parse-names":false,"suffix":""},{"dropping-particle":"","family":"Wen","given":"Xiao Zhong","non-dropping-particle":"","parse-names":false,"suffix":""},{"dropping-particle":"","family":"Liang","given":"Cai Hua","non-dropping-particle":"","parse-names":false,"suffix":""},{"dropping-particle":"","family":"Ling","given":"Wen Hua","non-dropping-particle":"","parse-names":false,"suffix":""}],"container-title":"International Journal of Behavioral Medicine","id":"ITEM-1","issue":"1","issued":{"date-parts":[["2012"]]},"page":"104-110","title":"Differences of smoking knowledge, attitudes, and behaviors between medical and non-medical students","type":"article-journal","volume":"19"}}],"schema":"https://github.com/citation-style-language/schema/raw/master/csl-citation.json"} </w:instrText>
      </w:r>
      <w:r w:rsidR="005C3838">
        <w:rPr>
          <w:rFonts w:ascii="Arial" w:eastAsia="Arial" w:hAnsi="Arial" w:cs="Arial"/>
          <w:sz w:val="20"/>
        </w:rPr>
        <w:fldChar w:fldCharType="separate"/>
      </w:r>
      <w:r w:rsidR="007508FC" w:rsidRPr="007508FC">
        <w:rPr>
          <w:rFonts w:ascii="Arial" w:hAnsi="Arial" w:cs="Arial"/>
          <w:sz w:val="20"/>
        </w:rPr>
        <w:t>(29)</w:t>
      </w:r>
      <w:r w:rsidR="005C3838">
        <w:rPr>
          <w:rFonts w:ascii="Arial" w:eastAsia="Arial" w:hAnsi="Arial" w:cs="Arial"/>
          <w:sz w:val="20"/>
        </w:rPr>
        <w:fldChar w:fldCharType="end"/>
      </w:r>
      <w:r w:rsidRPr="006D15B2">
        <w:rPr>
          <w:rFonts w:ascii="Arial" w:eastAsia="Arial" w:hAnsi="Arial" w:cs="Arial"/>
          <w:sz w:val="20"/>
        </w:rPr>
        <w:t xml:space="preserve">. Stoga je potrebno </w:t>
      </w:r>
      <w:r w:rsidRPr="006D15B2">
        <w:rPr>
          <w:rFonts w:ascii="Arial" w:eastAsia="Arial" w:hAnsi="Arial" w:cs="Arial"/>
          <w:sz w:val="20"/>
        </w:rPr>
        <w:lastRenderedPageBreak/>
        <w:t>intervencije suzbijanja pušenja intenzivnije primjenjivati u studentskoj populaciji</w:t>
      </w:r>
      <w:r w:rsidR="00FE55B1" w:rsidRPr="006D15B2">
        <w:rPr>
          <w:rFonts w:ascii="Arial" w:eastAsia="Arial" w:hAnsi="Arial" w:cs="Arial"/>
          <w:sz w:val="20"/>
        </w:rPr>
        <w:t>. Suzbijanje pušenja</w:t>
      </w:r>
      <w:r w:rsidRPr="006D15B2">
        <w:rPr>
          <w:rFonts w:ascii="Arial" w:eastAsia="Arial" w:hAnsi="Arial" w:cs="Arial"/>
          <w:sz w:val="20"/>
        </w:rPr>
        <w:t xml:space="preserve"> kod studenata biomedicinskog područja </w:t>
      </w:r>
      <w:r w:rsidR="00FE55B1" w:rsidRPr="006D15B2">
        <w:rPr>
          <w:rFonts w:ascii="Arial" w:eastAsia="Arial" w:hAnsi="Arial" w:cs="Arial"/>
          <w:sz w:val="20"/>
        </w:rPr>
        <w:t xml:space="preserve">može rezultirati i dodatnim pozitivnim socijalnim efektima jer bi oni </w:t>
      </w:r>
      <w:r w:rsidRPr="006D15B2">
        <w:rPr>
          <w:rFonts w:ascii="Arial" w:eastAsia="Arial" w:hAnsi="Arial" w:cs="Arial"/>
          <w:sz w:val="20"/>
        </w:rPr>
        <w:t xml:space="preserve">jednog dana kao zdravstveni profesionalci koji ne puše ozbiljnije shvatili pušenje kao problem kod svojih pacijenata i bili voljniji intervenirati, tj. savjetovati svoje pacijente o štetnosti pušenja i važnosti prestanka pušenja te im ponuditi pomoć u prestanku pušenja </w:t>
      </w:r>
      <w:r w:rsidR="005C3838">
        <w:rPr>
          <w:rFonts w:ascii="Arial" w:eastAsia="Arial" w:hAnsi="Arial" w:cs="Arial"/>
          <w:sz w:val="20"/>
        </w:rPr>
        <w:fldChar w:fldCharType="begin" w:fldLock="1"/>
      </w:r>
      <w:r w:rsidR="007508FC">
        <w:rPr>
          <w:rFonts w:ascii="Arial" w:eastAsia="Arial" w:hAnsi="Arial" w:cs="Arial"/>
          <w:sz w:val="20"/>
        </w:rPr>
        <w:instrText xml:space="preserve"> ADDIN ZOTERO_ITEM CSL_CITATION {"citationID":"1v7ZUPdq","properties":{"formattedCitation":"(38)","plainCitation":"(38)","noteIndex":0},"citationItems":[{"id":"YlNUCLkK/qIveygex","uris":["http://www.mendeley.com/documents/?uuid=bf028daa-84fa-4fe2-ae58-bd4ef41ac97b"],"uri":["http://www.mendeley.com/documents/?uuid=bf028daa-84fa-4fe2-ae58-bd4ef41ac97b"],"itemData":{"DOI":"10.1016/j.pec.2008.07.042","ISSN":"07383991","PMID":"18774670","abstract":"Objective: The smoking status of physicians can impact interactions with patients about smoking. The 'Smoking: The Opinions of Physicians' (STOP) survey examined whether an association existed between physician smoking status and beliefs about smoking and cessation and a physician's clinical interactions with patients relevant to smoking cessation, and perceptions of barriers to assisting with quitting. Methods: General and family practitioners across 16 countries were surveyed via telephone or face-to-face interviews using a convenience-sample methodology. Physician smoking status was self-reported. Results: Of 4473 physicians invited, 2836 (63%) participated in the survey, 1200 (42%) of whom were smokers. Significantly fewer smoking than non-smoking physicians volunteered that smoking was a harmful activity (64% vs 77%; P &lt; 0.001). More non-smokers agreed that smoking cessation was the single biggest step to improving health (88% vs 82%; P &lt; 0.001) and discussed smoking at every visit (45% vs 34%; P &lt; 0.001). Although more non-smoking physicians identified willpower (37% vs 32%; P &lt; 0.001) and lack of interest (28% vs 22%; P &lt; 0.001) as barriers to quitting, more smoking physicians saw stress as a barrier (16% vs 10%; P &lt; 0.001). Conclusion: Smoking physicians are less likely to initiate cessation interventions. Practice implications: There is a need for specific strategies to encourage smoking physicians to quit, and to motivate all practitioners to adopt systematic approaches to assisting with smoking cessation. © 2008 Elsevier Ireland Ltd. All rights reserved.","author":[{"dropping-particle":"","family":"Pipe","given":"Andrew","non-dropping-particle":"","parse-names":false,"suffix":""},{"dropping-particle":"","family":"Sorensen","given":"Michelle","non-dropping-particle":"","parse-names":false,"suffix":""},{"dropping-particle":"","family":"Reid","given":"Robert","non-dropping-particle":"","parse-names":false,"suffix":""}],"container-title":"Patient Education and Counseling","id":"ITEM-1","issue":"1","issued":{"date-parts":[["2009"]]},"page":"118-123","title":"Physician smoking status, attitudes toward smoking, and cessation advice to patients: An international survey","type":"article-journal","volume":"74"}}],"schema":"https://github.com/citation-style-language/schema/raw/master/csl-citation.json"} </w:instrText>
      </w:r>
      <w:r w:rsidR="005C3838">
        <w:rPr>
          <w:rFonts w:ascii="Arial" w:eastAsia="Arial" w:hAnsi="Arial" w:cs="Arial"/>
          <w:sz w:val="20"/>
        </w:rPr>
        <w:fldChar w:fldCharType="separate"/>
      </w:r>
      <w:r w:rsidR="007508FC" w:rsidRPr="007508FC">
        <w:rPr>
          <w:rFonts w:ascii="Arial" w:hAnsi="Arial" w:cs="Arial"/>
          <w:sz w:val="20"/>
        </w:rPr>
        <w:t>(38)</w:t>
      </w:r>
      <w:r w:rsidR="005C3838">
        <w:rPr>
          <w:rFonts w:ascii="Arial" w:eastAsia="Arial" w:hAnsi="Arial" w:cs="Arial"/>
          <w:sz w:val="20"/>
        </w:rPr>
        <w:fldChar w:fldCharType="end"/>
      </w:r>
      <w:r w:rsidRPr="006D15B2">
        <w:rPr>
          <w:rFonts w:ascii="Arial" w:eastAsia="Arial" w:hAnsi="Arial" w:cs="Arial"/>
          <w:sz w:val="20"/>
        </w:rPr>
        <w:t xml:space="preserve">. Također je važno poboljšati kvalitetu edukacije o metodama poticanja prestanka pušenja tijekom studija biomedicinskog područja ne bi li studenti stekli potrebne kompetencije u provođenju metoda poticanja prestanka pušenja kod svojih budućih pacijenata te na taj način kvalitetno obavljali svoju dužnost u suzbijanju ove sveprisutne ovisnosti </w:t>
      </w:r>
      <w:r w:rsidR="005C3838">
        <w:rPr>
          <w:rFonts w:ascii="Arial" w:eastAsia="Arial" w:hAnsi="Arial" w:cs="Arial"/>
          <w:sz w:val="20"/>
        </w:rPr>
        <w:fldChar w:fldCharType="begin" w:fldLock="1"/>
      </w:r>
      <w:r w:rsidR="007508FC">
        <w:rPr>
          <w:rFonts w:ascii="Arial" w:eastAsia="Arial" w:hAnsi="Arial" w:cs="Arial"/>
          <w:sz w:val="20"/>
        </w:rPr>
        <w:instrText xml:space="preserve"> ADDIN ZOTERO_ITEM CSL_CITATION {"citationID":"NLv6N9Tj","properties":{"formattedCitation":"(35)","plainCitation":"(35)","noteIndex":0},"citationItems":[{"id":"YlNUCLkK/rPWx70Hn","uris":["http://www.mendeley.com/documents/?uuid=da33d9a2-4952-3079-b003-2cc3062654d3"],"uri":["http://www.mendeley.com/documents/?uuid=da33d9a2-4952-3079-b003-2cc3062654d3"],"itemData":{"DOI":"10.1136/bmjopen-2019-036512","ISSN":"20446055","PMID":"33087367","abstract":"Objectives The aim of this study was to assess the prevalence of tobacco use and exposure to secondhand smoke among students of health professions (SHPs) and determine possible risk factors for current smoking. In addition, we sought to investigate the level of students' knowledge regarding smoking cessation. Design Cross-sectional. Setting Central Greece. Participants A convenient sample of 822 SHP volunteers were used, composed of 365 medical students, 123 students from a biochemistry department, 71 students from a nursing department, 176 from medical laboratory department and 84 students from a veterinary medicine department. Primary and secondary outcome measures We investigated the prevalence of current smoking and secondhand smoke, their determinants and SHP's knowledge and attitudes regarding smoking cessation. Univariate and logistic regression statistical analysis were used in order to identify risk factors associated with current smoking. Results The prevalence of current smoking was estimated at 23.5% (95% CI 20.7% to 26.5%), while 49% of current smokers reported they wanted to quit smoking. The prevalence of current e-cigarette use was 1.2%. In addition, 96.5% (95% CI 94.9% to 97.5%) of SHP have been exposed to secondhand smoke at least 1 day per week. Logistic regression analysis showed that increasing age (p&lt;0.001), alcohol consumption (p&lt;0.001) and exposure to secondhand smoke in the home (p&lt;0.001) were independent risk factors for current smoking. Notably, only 11.6% of the participants had learnt about methods to be used for smoking cessation. Conclusions Our results underline the need for integrated tobacco control initiatives that should discourage tobacco use among SHP, promote smoke free schools of health science, and implement programs that train SHP in effective cessation-counseling techniques.","author":[{"dropping-particle":"","family":"Samara","given":"Athina A.","non-dropping-particle":"","parse-names":false,"suffix":""},{"dropping-particle":"","family":"Rachiotis","given":"George","non-dropping-particle":"","parse-names":false,"suffix":""},{"dropping-particle":"","family":"Pettemeridou","given":"Sofia","non-dropping-particle":"","parse-names":false,"suffix":""},{"dropping-particle":"","family":"Papastamatiou","given":"Konstantinos","non-dropping-particle":"","parse-names":false,"suffix":""},{"dropping-particle":"","family":"Tourlakopoulos","given":"Konstantinos","non-dropping-particle":"","parse-names":false,"suffix":""},{"dropping-particle":"","family":"Chelioti","given":"Eythimia","non-dropping-particle":"","parse-names":false,"suffix":""},{"dropping-particle":"","family":"Katsioulis","given":"Antonis","non-dropping-particle":"","parse-names":false,"suffix":""},{"dropping-particle":"","family":"Hadjichristodoulou","given":"Christos S.","non-dropping-particle":"","parse-names":false,"suffix":""}],"container-title":"BMJ Open","id":"ITEM-1","issue":"10","issued":{"date-parts":[["2020","10","21"]]},"publisher":"BMJ Publishing Group","title":"Prevalence of tobacco use, exposure to secondhand smoke and knowledge on smoking cessation among students of health professions in Central Greece: A cross-sectional study","type":"article-journal","volume":"10"}}],"schema":"https://github.com/citation-style-language/schema/raw/master/csl-citation.json"} </w:instrText>
      </w:r>
      <w:r w:rsidR="005C3838">
        <w:rPr>
          <w:rFonts w:ascii="Arial" w:eastAsia="Arial" w:hAnsi="Arial" w:cs="Arial"/>
          <w:sz w:val="20"/>
        </w:rPr>
        <w:fldChar w:fldCharType="separate"/>
      </w:r>
      <w:r w:rsidR="007508FC" w:rsidRPr="007508FC">
        <w:rPr>
          <w:rFonts w:ascii="Arial" w:hAnsi="Arial" w:cs="Arial"/>
          <w:sz w:val="20"/>
        </w:rPr>
        <w:t>(35)</w:t>
      </w:r>
      <w:r w:rsidR="005C3838">
        <w:rPr>
          <w:rFonts w:ascii="Arial" w:eastAsia="Arial" w:hAnsi="Arial" w:cs="Arial"/>
          <w:sz w:val="20"/>
        </w:rPr>
        <w:fldChar w:fldCharType="end"/>
      </w:r>
      <w:r w:rsidRPr="006D15B2">
        <w:rPr>
          <w:rFonts w:ascii="Arial" w:eastAsia="Arial" w:hAnsi="Arial" w:cs="Arial"/>
          <w:sz w:val="20"/>
        </w:rPr>
        <w:t xml:space="preserve">. </w:t>
      </w:r>
    </w:p>
    <w:p w14:paraId="2C4B8323" w14:textId="77777777" w:rsidR="00076856" w:rsidRPr="00244ECF" w:rsidRDefault="00DE4299" w:rsidP="00756C58">
      <w:pPr>
        <w:pStyle w:val="Heading1"/>
        <w:spacing w:line="360" w:lineRule="auto"/>
        <w:rPr>
          <w:rFonts w:ascii="Arial" w:hAnsi="Arial" w:cs="Arial"/>
          <w:sz w:val="24"/>
          <w:szCs w:val="22"/>
        </w:rPr>
      </w:pPr>
      <w:bookmarkStart w:id="47" w:name="_heading=h.vddi5nxe946o" w:colFirst="0" w:colLast="0"/>
      <w:bookmarkStart w:id="48" w:name="_Toc75635815"/>
      <w:bookmarkEnd w:id="47"/>
      <w:r w:rsidRPr="00244ECF">
        <w:rPr>
          <w:rFonts w:ascii="Arial" w:hAnsi="Arial" w:cs="Arial"/>
          <w:sz w:val="24"/>
          <w:szCs w:val="22"/>
        </w:rPr>
        <w:t>7. ZAKLJUČAK</w:t>
      </w:r>
      <w:bookmarkEnd w:id="48"/>
    </w:p>
    <w:p w14:paraId="67F29DB8" w14:textId="19B244FF" w:rsidR="00076856" w:rsidRPr="006D15B2" w:rsidRDefault="00DE4299" w:rsidP="00756C58">
      <w:pPr>
        <w:spacing w:line="360" w:lineRule="auto"/>
        <w:jc w:val="both"/>
        <w:rPr>
          <w:sz w:val="20"/>
        </w:rPr>
      </w:pPr>
      <w:r w:rsidRPr="006D15B2">
        <w:rPr>
          <w:rFonts w:ascii="Arial" w:eastAsia="Arial" w:hAnsi="Arial" w:cs="Arial"/>
          <w:sz w:val="20"/>
        </w:rPr>
        <w:t xml:space="preserve">Ukupni rezultati po Fagerströmovom testu </w:t>
      </w:r>
      <w:r w:rsidR="005A7471" w:rsidRPr="006D15B2">
        <w:rPr>
          <w:rFonts w:ascii="Arial" w:eastAsia="Arial" w:hAnsi="Arial" w:cs="Arial"/>
          <w:sz w:val="20"/>
        </w:rPr>
        <w:t>pokazali su</w:t>
      </w:r>
      <w:r w:rsidRPr="006D15B2">
        <w:rPr>
          <w:rFonts w:ascii="Arial" w:eastAsia="Arial" w:hAnsi="Arial" w:cs="Arial"/>
          <w:sz w:val="20"/>
        </w:rPr>
        <w:t xml:space="preserve"> da 61,6% ispitanika pripada skupini slabe ovisnosti, 24,6% slabe do  srednje teške, 12,9% srednje teške do teške, a 0,9% ispitanika skupini teške ovisnosti. Studenti medicine pokazuju najmanji stupanj ovisn</w:t>
      </w:r>
      <w:r w:rsidR="005A7471" w:rsidRPr="006D15B2">
        <w:rPr>
          <w:rFonts w:ascii="Arial" w:eastAsia="Arial" w:hAnsi="Arial" w:cs="Arial"/>
          <w:sz w:val="20"/>
        </w:rPr>
        <w:t>osti dok u umjetničkom području</w:t>
      </w:r>
      <w:r w:rsidRPr="006D15B2">
        <w:rPr>
          <w:rFonts w:ascii="Arial" w:eastAsia="Arial" w:hAnsi="Arial" w:cs="Arial"/>
          <w:sz w:val="20"/>
        </w:rPr>
        <w:t xml:space="preserve"> studenti teže višim stupnjevima nikotinske ovisnosti. Najtežu ovisnost iskazali su studenti društveno-humanističkog područja. Među spolovima nije primjećena znača</w:t>
      </w:r>
      <w:r w:rsidR="005A7471" w:rsidRPr="006D15B2">
        <w:rPr>
          <w:rFonts w:ascii="Arial" w:eastAsia="Arial" w:hAnsi="Arial" w:cs="Arial"/>
          <w:sz w:val="20"/>
        </w:rPr>
        <w:t>jna razlika, kao ni između gradova</w:t>
      </w:r>
      <w:r w:rsidRPr="006D15B2">
        <w:rPr>
          <w:rFonts w:ascii="Arial" w:eastAsia="Arial" w:hAnsi="Arial" w:cs="Arial"/>
          <w:sz w:val="20"/>
        </w:rPr>
        <w:t xml:space="preserve"> studiranja. Što se tiče spremnosti na medikamentozno potpomognut prestanak pušenja, pokazalo se da su studenti medicine spremniji prihvatiti terapijsku opciju u usporedbi s ostalim studijima. </w:t>
      </w:r>
      <w:r w:rsidR="008C6F65">
        <w:t xml:space="preserve">Također se pokazalo da su ispitanice ženskoga spola u manjem postotku spremne prihvatiti </w:t>
      </w:r>
      <w:proofErr w:type="spellStart"/>
      <w:r w:rsidR="008C6F65">
        <w:t>medikamentoznu</w:t>
      </w:r>
      <w:proofErr w:type="spellEnd"/>
      <w:r w:rsidR="008C6F65">
        <w:t xml:space="preserve"> pomoć.</w:t>
      </w:r>
      <w:r w:rsidRPr="006D15B2">
        <w:rPr>
          <w:rFonts w:ascii="Arial" w:eastAsia="Arial" w:hAnsi="Arial" w:cs="Arial"/>
          <w:sz w:val="20"/>
        </w:rPr>
        <w:t xml:space="preserve"> Takvi zaključci mogu biti korisni u planiranju budućih javnozdravstvenih intervencija i ka</w:t>
      </w:r>
      <w:r w:rsidR="005A7471" w:rsidRPr="006D15B2">
        <w:rPr>
          <w:rFonts w:ascii="Arial" w:eastAsia="Arial" w:hAnsi="Arial" w:cs="Arial"/>
          <w:sz w:val="20"/>
        </w:rPr>
        <w:t>mpanja te pisanju legislativa s</w:t>
      </w:r>
      <w:r w:rsidRPr="006D15B2">
        <w:rPr>
          <w:rFonts w:ascii="Arial" w:eastAsia="Arial" w:hAnsi="Arial" w:cs="Arial"/>
          <w:sz w:val="20"/>
        </w:rPr>
        <w:t xml:space="preserve"> ciljem smanjenja pušenja u studentskoj populaciji.</w:t>
      </w:r>
    </w:p>
    <w:p w14:paraId="61998B09" w14:textId="7360EE38" w:rsidR="00076856" w:rsidRDefault="00DE4299" w:rsidP="00756C58">
      <w:pPr>
        <w:pStyle w:val="Heading1"/>
        <w:spacing w:line="360" w:lineRule="auto"/>
        <w:rPr>
          <w:rFonts w:ascii="Arial" w:hAnsi="Arial" w:cs="Arial"/>
          <w:sz w:val="24"/>
          <w:szCs w:val="22"/>
        </w:rPr>
      </w:pPr>
      <w:bookmarkStart w:id="49" w:name="_heading=h.dxj0m9yekgmo" w:colFirst="0" w:colLast="0"/>
      <w:bookmarkEnd w:id="49"/>
      <w:r w:rsidRPr="00244ECF">
        <w:rPr>
          <w:rFonts w:ascii="Arial" w:hAnsi="Arial" w:cs="Arial"/>
          <w:sz w:val="24"/>
          <w:szCs w:val="22"/>
        </w:rPr>
        <w:t xml:space="preserve">8. </w:t>
      </w:r>
      <w:bookmarkStart w:id="50" w:name="_Toc75635816"/>
      <w:r w:rsidRPr="00244ECF">
        <w:rPr>
          <w:rFonts w:ascii="Arial" w:hAnsi="Arial" w:cs="Arial"/>
          <w:sz w:val="24"/>
          <w:szCs w:val="22"/>
        </w:rPr>
        <w:t>POPIS LITERATURE</w:t>
      </w:r>
      <w:bookmarkEnd w:id="50"/>
    </w:p>
    <w:p w14:paraId="40A62638" w14:textId="77777777" w:rsidR="00213163" w:rsidRPr="00116CFE" w:rsidRDefault="00B67FA8" w:rsidP="00213163">
      <w:pPr>
        <w:pStyle w:val="Bibliography"/>
        <w:rPr>
          <w:rFonts w:ascii="Arial" w:hAnsi="Arial" w:cs="Arial"/>
          <w:sz w:val="20"/>
          <w:szCs w:val="20"/>
        </w:rPr>
      </w:pPr>
      <w:r w:rsidRPr="00116CFE">
        <w:rPr>
          <w:rFonts w:ascii="Arial" w:hAnsi="Arial" w:cs="Arial"/>
          <w:sz w:val="20"/>
          <w:szCs w:val="20"/>
        </w:rPr>
        <w:fldChar w:fldCharType="begin" w:fldLock="1"/>
      </w:r>
      <w:r w:rsidR="00213163" w:rsidRPr="00116CFE">
        <w:rPr>
          <w:rFonts w:ascii="Arial" w:hAnsi="Arial" w:cs="Arial"/>
          <w:sz w:val="20"/>
          <w:szCs w:val="20"/>
        </w:rPr>
        <w:instrText xml:space="preserve"> ADDIN ZOTERO_BIBL {"uncited":[],"omitted":[],"custom":[]} CSL_BIBLIOGRAPHY </w:instrText>
      </w:r>
      <w:r w:rsidRPr="00116CFE">
        <w:rPr>
          <w:rFonts w:ascii="Arial" w:hAnsi="Arial" w:cs="Arial"/>
          <w:sz w:val="20"/>
          <w:szCs w:val="20"/>
        </w:rPr>
        <w:fldChar w:fldCharType="separate"/>
      </w:r>
      <w:r w:rsidR="00213163" w:rsidRPr="00116CFE">
        <w:rPr>
          <w:rFonts w:ascii="Arial" w:hAnsi="Arial" w:cs="Arial"/>
          <w:sz w:val="20"/>
          <w:szCs w:val="20"/>
        </w:rPr>
        <w:t xml:space="preserve">1. </w:t>
      </w:r>
      <w:r w:rsidR="00213163" w:rsidRPr="00116CFE">
        <w:rPr>
          <w:rFonts w:ascii="Arial" w:hAnsi="Arial" w:cs="Arial"/>
          <w:sz w:val="20"/>
          <w:szCs w:val="20"/>
        </w:rPr>
        <w:tab/>
        <w:t>Tobacco [Internet]. [cited 2021 Jun 23]. Available from: https://www.who.int/news-room/fact-sheets/detail/tobacco</w:t>
      </w:r>
    </w:p>
    <w:p w14:paraId="4114FE19" w14:textId="7A02CF9C" w:rsidR="00213163" w:rsidRPr="00116CFE" w:rsidRDefault="00213163" w:rsidP="00213163">
      <w:pPr>
        <w:pStyle w:val="Bibliography"/>
        <w:rPr>
          <w:rFonts w:ascii="Arial" w:hAnsi="Arial" w:cs="Arial"/>
          <w:sz w:val="20"/>
          <w:szCs w:val="20"/>
        </w:rPr>
      </w:pPr>
      <w:r w:rsidRPr="00116CFE">
        <w:rPr>
          <w:rFonts w:ascii="Arial" w:hAnsi="Arial" w:cs="Arial"/>
          <w:sz w:val="20"/>
          <w:szCs w:val="20"/>
        </w:rPr>
        <w:t xml:space="preserve">2. </w:t>
      </w:r>
      <w:r w:rsidRPr="00116CFE">
        <w:rPr>
          <w:rFonts w:ascii="Arial" w:hAnsi="Arial" w:cs="Arial"/>
          <w:sz w:val="20"/>
          <w:szCs w:val="20"/>
        </w:rPr>
        <w:tab/>
      </w:r>
      <w:bookmarkStart w:id="51" w:name="_Hlk84613086"/>
      <w:r w:rsidR="009E0AAF" w:rsidRPr="009E0AAF">
        <w:rPr>
          <w:rFonts w:ascii="Arial" w:hAnsi="Arial" w:cs="Arial"/>
          <w:lang w:val="en-GB"/>
        </w:rPr>
        <w:t>Goldenberg M, Itai D, Waguih WI. Quality of life and smoking. The American journal on addictions. 2014; 23 (6): 540-562.</w:t>
      </w:r>
      <w:r w:rsidRPr="009E0AAF">
        <w:rPr>
          <w:rFonts w:ascii="Arial" w:hAnsi="Arial" w:cs="Arial"/>
          <w:sz w:val="20"/>
          <w:szCs w:val="20"/>
          <w:lang w:val="en-GB"/>
        </w:rPr>
        <w:t xml:space="preserve"> </w:t>
      </w:r>
    </w:p>
    <w:bookmarkEnd w:id="51"/>
    <w:p w14:paraId="5D64D10F" w14:textId="77777777" w:rsidR="00213163" w:rsidRPr="00116CFE" w:rsidRDefault="00213163" w:rsidP="00213163">
      <w:pPr>
        <w:pStyle w:val="Bibliography"/>
        <w:rPr>
          <w:rFonts w:ascii="Arial" w:hAnsi="Arial" w:cs="Arial"/>
          <w:sz w:val="20"/>
          <w:szCs w:val="20"/>
        </w:rPr>
      </w:pPr>
      <w:r w:rsidRPr="00116CFE">
        <w:rPr>
          <w:rFonts w:ascii="Arial" w:hAnsi="Arial" w:cs="Arial"/>
          <w:sz w:val="20"/>
          <w:szCs w:val="20"/>
        </w:rPr>
        <w:t xml:space="preserve">3. </w:t>
      </w:r>
      <w:r w:rsidRPr="00116CFE">
        <w:rPr>
          <w:rFonts w:ascii="Arial" w:hAnsi="Arial" w:cs="Arial"/>
          <w:sz w:val="20"/>
          <w:szCs w:val="20"/>
        </w:rPr>
        <w:tab/>
        <w:t xml:space="preserve">Mishra S, Mishra M. Tobacco: Its historical, cultural, oral, and periodontal health association. J Int Soc Prev Community Dent. 2013;3(1):12. </w:t>
      </w:r>
    </w:p>
    <w:p w14:paraId="7FB50D54" w14:textId="77777777" w:rsidR="00213163" w:rsidRPr="00116CFE" w:rsidRDefault="00213163" w:rsidP="00213163">
      <w:pPr>
        <w:pStyle w:val="Bibliography"/>
        <w:rPr>
          <w:rFonts w:ascii="Arial" w:hAnsi="Arial" w:cs="Arial"/>
          <w:sz w:val="20"/>
          <w:szCs w:val="20"/>
        </w:rPr>
      </w:pPr>
      <w:r w:rsidRPr="00116CFE">
        <w:rPr>
          <w:rFonts w:ascii="Arial" w:hAnsi="Arial" w:cs="Arial"/>
          <w:sz w:val="20"/>
          <w:szCs w:val="20"/>
        </w:rPr>
        <w:t xml:space="preserve">4. </w:t>
      </w:r>
      <w:r w:rsidRPr="00116CFE">
        <w:rPr>
          <w:rFonts w:ascii="Arial" w:hAnsi="Arial" w:cs="Arial"/>
          <w:sz w:val="20"/>
          <w:szCs w:val="20"/>
        </w:rPr>
        <w:tab/>
        <w:t xml:space="preserve">Samet JM. Epidemiology and the tobacco epidemic: How research on tobacco and health shaped epidemiology. Vol. 183, American Journal of Epidemiology. Oxford University Press; 2016. p. 394–402. </w:t>
      </w:r>
    </w:p>
    <w:p w14:paraId="5FCD4A65" w14:textId="77777777" w:rsidR="00213163" w:rsidRPr="00116CFE" w:rsidRDefault="00213163" w:rsidP="00213163">
      <w:pPr>
        <w:pStyle w:val="Bibliography"/>
        <w:rPr>
          <w:rFonts w:ascii="Arial" w:hAnsi="Arial" w:cs="Arial"/>
          <w:sz w:val="20"/>
          <w:szCs w:val="20"/>
        </w:rPr>
      </w:pPr>
      <w:r w:rsidRPr="00116CFE">
        <w:rPr>
          <w:rFonts w:ascii="Arial" w:hAnsi="Arial" w:cs="Arial"/>
          <w:sz w:val="20"/>
          <w:szCs w:val="20"/>
        </w:rPr>
        <w:t xml:space="preserve">5. </w:t>
      </w:r>
      <w:r w:rsidRPr="00116CFE">
        <w:rPr>
          <w:rFonts w:ascii="Arial" w:hAnsi="Arial" w:cs="Arial"/>
          <w:sz w:val="20"/>
          <w:szCs w:val="20"/>
        </w:rPr>
        <w:tab/>
        <w:t xml:space="preserve">Padjen I, Dabić M, Glivetić T, Biloglav Z, Biocina-Lukendas D, Lukenda J. The analysis of tobacco consumption in Croatia--are we successfully facing the epidemic? Cent Eur J Public Health. 2012;20(1):5–10. </w:t>
      </w:r>
    </w:p>
    <w:p w14:paraId="61AC00B2" w14:textId="77777777" w:rsidR="00213163" w:rsidRPr="00116CFE" w:rsidRDefault="00213163" w:rsidP="00213163">
      <w:pPr>
        <w:pStyle w:val="Bibliography"/>
        <w:rPr>
          <w:rFonts w:ascii="Arial" w:hAnsi="Arial" w:cs="Arial"/>
          <w:sz w:val="20"/>
          <w:szCs w:val="20"/>
        </w:rPr>
      </w:pPr>
      <w:r w:rsidRPr="00116CFE">
        <w:rPr>
          <w:rFonts w:ascii="Arial" w:hAnsi="Arial" w:cs="Arial"/>
          <w:sz w:val="20"/>
          <w:szCs w:val="20"/>
        </w:rPr>
        <w:t xml:space="preserve">6. </w:t>
      </w:r>
      <w:r w:rsidRPr="00116CFE">
        <w:rPr>
          <w:rFonts w:ascii="Arial" w:hAnsi="Arial" w:cs="Arial"/>
          <w:sz w:val="20"/>
          <w:szCs w:val="20"/>
        </w:rPr>
        <w:tab/>
        <w:t xml:space="preserve">Alberg AJ, Shopland DR, Cummings KM. of Cigarette Smoking. 2014; </w:t>
      </w:r>
    </w:p>
    <w:p w14:paraId="1EA39E1C" w14:textId="77777777" w:rsidR="00213163" w:rsidRPr="00116CFE" w:rsidRDefault="00213163" w:rsidP="00213163">
      <w:pPr>
        <w:pStyle w:val="Bibliography"/>
        <w:rPr>
          <w:rFonts w:ascii="Arial" w:hAnsi="Arial" w:cs="Arial"/>
          <w:sz w:val="20"/>
          <w:szCs w:val="20"/>
        </w:rPr>
      </w:pPr>
      <w:r w:rsidRPr="00116CFE">
        <w:rPr>
          <w:rFonts w:ascii="Arial" w:hAnsi="Arial" w:cs="Arial"/>
          <w:sz w:val="20"/>
          <w:szCs w:val="20"/>
        </w:rPr>
        <w:lastRenderedPageBreak/>
        <w:t xml:space="preserve">7. </w:t>
      </w:r>
      <w:r w:rsidRPr="00116CFE">
        <w:rPr>
          <w:rFonts w:ascii="Arial" w:hAnsi="Arial" w:cs="Arial"/>
          <w:sz w:val="20"/>
          <w:szCs w:val="20"/>
        </w:rPr>
        <w:tab/>
        <w:t xml:space="preserve">Cornelius ME, Wang TW, Jamal A, Loretan CG, Neff LJ. Tobacco Product Use Among Adults — United States, 2019. MMWR Morb Mortal Wkly Rep. 2020 Nov 20;69(46):1736–42. </w:t>
      </w:r>
    </w:p>
    <w:p w14:paraId="05F54BCD" w14:textId="77777777" w:rsidR="00213163" w:rsidRPr="00116CFE" w:rsidRDefault="00213163" w:rsidP="00213163">
      <w:pPr>
        <w:pStyle w:val="Bibliography"/>
        <w:rPr>
          <w:rFonts w:ascii="Arial" w:hAnsi="Arial" w:cs="Arial"/>
          <w:sz w:val="20"/>
          <w:szCs w:val="20"/>
        </w:rPr>
      </w:pPr>
      <w:r w:rsidRPr="00116CFE">
        <w:rPr>
          <w:rFonts w:ascii="Arial" w:hAnsi="Arial" w:cs="Arial"/>
          <w:sz w:val="20"/>
          <w:szCs w:val="20"/>
        </w:rPr>
        <w:t xml:space="preserve">8. </w:t>
      </w:r>
      <w:r w:rsidRPr="00116CFE">
        <w:rPr>
          <w:rFonts w:ascii="Arial" w:hAnsi="Arial" w:cs="Arial"/>
          <w:sz w:val="20"/>
          <w:szCs w:val="20"/>
        </w:rPr>
        <w:tab/>
        <w:t>WHO/Europe | Tobacco - Data and statistics [Internet]. [cited 2021 Jun 23]. Available from: https://www.euro.who.int/en/health-topics/disease-prevention/tobacco/data-and-statistics</w:t>
      </w:r>
    </w:p>
    <w:p w14:paraId="2E69B0B8" w14:textId="293638E5" w:rsidR="00213163" w:rsidRPr="00116CFE" w:rsidRDefault="00213163" w:rsidP="00213163">
      <w:pPr>
        <w:pStyle w:val="Bibliography"/>
        <w:rPr>
          <w:rFonts w:ascii="Arial" w:hAnsi="Arial" w:cs="Arial"/>
          <w:sz w:val="20"/>
          <w:szCs w:val="20"/>
        </w:rPr>
      </w:pPr>
      <w:r w:rsidRPr="00116CFE">
        <w:rPr>
          <w:rFonts w:ascii="Arial" w:hAnsi="Arial" w:cs="Arial"/>
          <w:sz w:val="20"/>
          <w:szCs w:val="20"/>
        </w:rPr>
        <w:t xml:space="preserve">9. </w:t>
      </w:r>
      <w:r w:rsidRPr="00116CFE">
        <w:rPr>
          <w:rFonts w:ascii="Arial" w:hAnsi="Arial" w:cs="Arial"/>
          <w:sz w:val="20"/>
          <w:szCs w:val="20"/>
        </w:rPr>
        <w:tab/>
      </w:r>
      <w:r w:rsidR="00B34DFD" w:rsidRPr="00116CFE">
        <w:rPr>
          <w:rStyle w:val="selectable"/>
          <w:rFonts w:ascii="Arial" w:hAnsi="Arial" w:cs="Arial"/>
          <w:color w:val="000000"/>
          <w:sz w:val="20"/>
          <w:szCs w:val="20"/>
        </w:rPr>
        <w:t>Dečković Vukres V, Ivičević Uhernik A, Mihel S. ISTRAŽIVANJE O UPORABI DUHANA U ODRASLOJ POPULACIJI REPUBLIKE HRVATSKE [Internet]. Zagreb, Rockefellerova 7: Hrvatski zavod za javno zdravstvo; 2015 [cited 28 June 2021]. Available from: https://www.hzjz.hr/wp-content/uploads/2016/02/Duhan_2015.pdf</w:t>
      </w:r>
      <w:r w:rsidRPr="00116CFE">
        <w:rPr>
          <w:rFonts w:ascii="Arial" w:hAnsi="Arial" w:cs="Arial"/>
          <w:sz w:val="20"/>
          <w:szCs w:val="20"/>
        </w:rPr>
        <w:t xml:space="preserve"> </w:t>
      </w:r>
    </w:p>
    <w:p w14:paraId="27AD53FE" w14:textId="77777777" w:rsidR="00213163" w:rsidRPr="00116CFE" w:rsidRDefault="00213163" w:rsidP="00213163">
      <w:pPr>
        <w:pStyle w:val="Bibliography"/>
        <w:rPr>
          <w:rFonts w:ascii="Arial" w:hAnsi="Arial" w:cs="Arial"/>
          <w:sz w:val="20"/>
          <w:szCs w:val="20"/>
        </w:rPr>
      </w:pPr>
      <w:r w:rsidRPr="00116CFE">
        <w:rPr>
          <w:rFonts w:ascii="Arial" w:hAnsi="Arial" w:cs="Arial"/>
          <w:sz w:val="20"/>
          <w:szCs w:val="20"/>
        </w:rPr>
        <w:t xml:space="preserve">10. </w:t>
      </w:r>
      <w:r w:rsidRPr="00116CFE">
        <w:rPr>
          <w:rFonts w:ascii="Arial" w:hAnsi="Arial" w:cs="Arial"/>
          <w:sz w:val="20"/>
          <w:szCs w:val="20"/>
        </w:rPr>
        <w:tab/>
        <w:t xml:space="preserve">Goel RK, Budak J. Smoking patterns in Croatia and comparisons with European nations. Cent Eur J Public Health. 2007;15(3):110–5. </w:t>
      </w:r>
    </w:p>
    <w:p w14:paraId="3F7C0640" w14:textId="57781A86" w:rsidR="00213163" w:rsidRPr="00116CFE" w:rsidRDefault="00213163" w:rsidP="00213163">
      <w:pPr>
        <w:pStyle w:val="Bibliography"/>
        <w:rPr>
          <w:rFonts w:ascii="Arial" w:hAnsi="Arial" w:cs="Arial"/>
          <w:sz w:val="20"/>
          <w:szCs w:val="20"/>
        </w:rPr>
      </w:pPr>
      <w:r w:rsidRPr="00116CFE">
        <w:rPr>
          <w:rFonts w:ascii="Arial" w:hAnsi="Arial" w:cs="Arial"/>
          <w:sz w:val="20"/>
          <w:szCs w:val="20"/>
        </w:rPr>
        <w:t xml:space="preserve">11. </w:t>
      </w:r>
      <w:r w:rsidRPr="00116CFE">
        <w:rPr>
          <w:rFonts w:ascii="Arial" w:hAnsi="Arial" w:cs="Arial"/>
          <w:sz w:val="20"/>
          <w:szCs w:val="20"/>
        </w:rPr>
        <w:tab/>
      </w:r>
      <w:bookmarkStart w:id="52" w:name="_Hlk84613863"/>
      <w:bookmarkStart w:id="53" w:name="_Hlk84613554"/>
      <w:r w:rsidR="009A4F80" w:rsidRPr="009A4F80">
        <w:rPr>
          <w:rFonts w:ascii="Arial" w:hAnsi="Arial" w:cs="Arial"/>
          <w:sz w:val="20"/>
          <w:szCs w:val="20"/>
        </w:rPr>
        <w:t>İçmeli, ÖS, Türker, H, Gündoğuş, B, Çiftci, M, Aka Aktürk, Ü. Behaviours and opinions of adolescent students on smoking. Tuberk Toraks</w:t>
      </w:r>
      <w:r w:rsidR="009A4F80">
        <w:rPr>
          <w:rFonts w:ascii="Arial" w:hAnsi="Arial" w:cs="Arial"/>
          <w:sz w:val="20"/>
          <w:szCs w:val="20"/>
        </w:rPr>
        <w:t>.</w:t>
      </w:r>
      <w:r w:rsidR="009A4F80" w:rsidRPr="009A4F80">
        <w:rPr>
          <w:rFonts w:ascii="Arial" w:hAnsi="Arial" w:cs="Arial"/>
          <w:sz w:val="20"/>
          <w:szCs w:val="20"/>
        </w:rPr>
        <w:t>2016</w:t>
      </w:r>
      <w:r w:rsidR="009A4F80">
        <w:rPr>
          <w:rFonts w:ascii="Arial" w:hAnsi="Arial" w:cs="Arial"/>
          <w:sz w:val="20"/>
          <w:szCs w:val="20"/>
        </w:rPr>
        <w:t>;</w:t>
      </w:r>
      <w:r w:rsidR="009A4F80" w:rsidRPr="009A4F80">
        <w:rPr>
          <w:rFonts w:ascii="Arial" w:hAnsi="Arial" w:cs="Arial"/>
          <w:sz w:val="20"/>
          <w:szCs w:val="20"/>
        </w:rPr>
        <w:t xml:space="preserve"> 64(3)</w:t>
      </w:r>
      <w:r w:rsidR="00037B2F">
        <w:rPr>
          <w:rFonts w:ascii="Arial" w:hAnsi="Arial" w:cs="Arial"/>
          <w:sz w:val="20"/>
          <w:szCs w:val="20"/>
        </w:rPr>
        <w:t>:</w:t>
      </w:r>
      <w:r w:rsidR="009A4F80" w:rsidRPr="009A4F80">
        <w:rPr>
          <w:rFonts w:ascii="Arial" w:hAnsi="Arial" w:cs="Arial"/>
          <w:sz w:val="20"/>
          <w:szCs w:val="20"/>
        </w:rPr>
        <w:t>217-222.</w:t>
      </w:r>
      <w:r w:rsidR="009A4F80">
        <w:rPr>
          <w:rFonts w:ascii="Arial" w:hAnsi="Arial" w:cs="Arial"/>
          <w:sz w:val="20"/>
          <w:szCs w:val="20"/>
        </w:rPr>
        <w:t xml:space="preserve"> </w:t>
      </w:r>
      <w:bookmarkEnd w:id="52"/>
      <w:bookmarkEnd w:id="53"/>
    </w:p>
    <w:p w14:paraId="140889F6" w14:textId="77777777" w:rsidR="00213163" w:rsidRPr="00116CFE" w:rsidRDefault="00213163" w:rsidP="00213163">
      <w:pPr>
        <w:pStyle w:val="Bibliography"/>
        <w:rPr>
          <w:rFonts w:ascii="Arial" w:hAnsi="Arial" w:cs="Arial"/>
          <w:sz w:val="20"/>
          <w:szCs w:val="20"/>
        </w:rPr>
      </w:pPr>
      <w:r w:rsidRPr="00116CFE">
        <w:rPr>
          <w:rFonts w:ascii="Arial" w:hAnsi="Arial" w:cs="Arial"/>
          <w:sz w:val="20"/>
          <w:szCs w:val="20"/>
        </w:rPr>
        <w:t xml:space="preserve">12. </w:t>
      </w:r>
      <w:r w:rsidRPr="00116CFE">
        <w:rPr>
          <w:rFonts w:ascii="Arial" w:hAnsi="Arial" w:cs="Arial"/>
          <w:sz w:val="20"/>
          <w:szCs w:val="20"/>
        </w:rPr>
        <w:tab/>
        <w:t xml:space="preserve">Muttarak R, Gallus S, Franchi M, Faggiano F, Pacifici R, Colombo P, et al. Why do smokers start? Eur J Cancer Prev. 2013;22(2):181–6. </w:t>
      </w:r>
    </w:p>
    <w:p w14:paraId="26A16B80" w14:textId="77777777" w:rsidR="00213163" w:rsidRPr="00116CFE" w:rsidRDefault="00213163" w:rsidP="00213163">
      <w:pPr>
        <w:pStyle w:val="Bibliography"/>
        <w:rPr>
          <w:rFonts w:ascii="Arial" w:hAnsi="Arial" w:cs="Arial"/>
          <w:sz w:val="20"/>
          <w:szCs w:val="20"/>
        </w:rPr>
      </w:pPr>
      <w:r w:rsidRPr="00116CFE">
        <w:rPr>
          <w:rFonts w:ascii="Arial" w:hAnsi="Arial" w:cs="Arial"/>
          <w:sz w:val="20"/>
          <w:szCs w:val="20"/>
        </w:rPr>
        <w:t xml:space="preserve">13. </w:t>
      </w:r>
      <w:r w:rsidRPr="00116CFE">
        <w:rPr>
          <w:rFonts w:ascii="Arial" w:hAnsi="Arial" w:cs="Arial"/>
          <w:sz w:val="20"/>
          <w:szCs w:val="20"/>
        </w:rPr>
        <w:tab/>
        <w:t xml:space="preserve">Sabrina Molinaro, Julian Vicente, Elisa Benedetti, Sonia Cerrai, Emanuela Colasante, Sharon Arpa, Pavla Chomynová, Ludwig Kraus, Karin Monshouwer, Stanislas Spilka, Ársæll Már Arnarsson, Olga Balakireva, Begoña Brime Beteta, Elin Kristin Bye, Anina Chilev LF and KŠ. ESPAD Report. 2019. 1–134 p. </w:t>
      </w:r>
    </w:p>
    <w:p w14:paraId="19A5CBC5" w14:textId="77777777" w:rsidR="00213163" w:rsidRPr="00116CFE" w:rsidRDefault="00213163" w:rsidP="00213163">
      <w:pPr>
        <w:pStyle w:val="Bibliography"/>
        <w:rPr>
          <w:rFonts w:ascii="Arial" w:hAnsi="Arial" w:cs="Arial"/>
          <w:sz w:val="20"/>
          <w:szCs w:val="20"/>
        </w:rPr>
      </w:pPr>
      <w:r w:rsidRPr="00116CFE">
        <w:rPr>
          <w:rFonts w:ascii="Arial" w:hAnsi="Arial" w:cs="Arial"/>
          <w:sz w:val="20"/>
          <w:szCs w:val="20"/>
        </w:rPr>
        <w:t xml:space="preserve">14. </w:t>
      </w:r>
      <w:r w:rsidRPr="00116CFE">
        <w:rPr>
          <w:rFonts w:ascii="Arial" w:hAnsi="Arial" w:cs="Arial"/>
          <w:sz w:val="20"/>
          <w:szCs w:val="20"/>
        </w:rPr>
        <w:tab/>
        <w:t xml:space="preserve">Patterson F, Lerman C, Kaufmann VG, Neuner GA, Audrain-McGovern J. Cigarette smoking practices among american college students: Review and future directions. J Am Coll Health. 2004;52(5):203–12. </w:t>
      </w:r>
    </w:p>
    <w:p w14:paraId="0886F5DF" w14:textId="77777777" w:rsidR="00213163" w:rsidRPr="00116CFE" w:rsidRDefault="00213163" w:rsidP="00213163">
      <w:pPr>
        <w:pStyle w:val="Bibliography"/>
        <w:rPr>
          <w:rFonts w:ascii="Arial" w:hAnsi="Arial" w:cs="Arial"/>
          <w:sz w:val="20"/>
          <w:szCs w:val="20"/>
        </w:rPr>
      </w:pPr>
      <w:r w:rsidRPr="00116CFE">
        <w:rPr>
          <w:rFonts w:ascii="Arial" w:hAnsi="Arial" w:cs="Arial"/>
          <w:sz w:val="20"/>
          <w:szCs w:val="20"/>
        </w:rPr>
        <w:t xml:space="preserve">15. </w:t>
      </w:r>
      <w:r w:rsidRPr="00116CFE">
        <w:rPr>
          <w:rFonts w:ascii="Arial" w:hAnsi="Arial" w:cs="Arial"/>
          <w:sz w:val="20"/>
          <w:szCs w:val="20"/>
        </w:rPr>
        <w:tab/>
        <w:t xml:space="preserve">Harris JB, Schwartz SM, Thompson B. Characteristics associated with self-identification as a regular smoker and desire to quit among college students who smoke cigarettes. Nicotine Tob Res. 2008;10(1):69–76. </w:t>
      </w:r>
    </w:p>
    <w:p w14:paraId="3C93336B" w14:textId="77777777" w:rsidR="00213163" w:rsidRPr="00116CFE" w:rsidRDefault="00213163" w:rsidP="00213163">
      <w:pPr>
        <w:pStyle w:val="Bibliography"/>
        <w:rPr>
          <w:rFonts w:ascii="Arial" w:hAnsi="Arial" w:cs="Arial"/>
          <w:sz w:val="20"/>
          <w:szCs w:val="20"/>
        </w:rPr>
      </w:pPr>
      <w:r w:rsidRPr="00116CFE">
        <w:rPr>
          <w:rFonts w:ascii="Arial" w:hAnsi="Arial" w:cs="Arial"/>
          <w:sz w:val="20"/>
          <w:szCs w:val="20"/>
        </w:rPr>
        <w:t xml:space="preserve">16. </w:t>
      </w:r>
      <w:r w:rsidRPr="00116CFE">
        <w:rPr>
          <w:rFonts w:ascii="Arial" w:hAnsi="Arial" w:cs="Arial"/>
          <w:sz w:val="20"/>
          <w:szCs w:val="20"/>
        </w:rPr>
        <w:tab/>
        <w:t xml:space="preserve">Warren CW, Sinha DN, Lee J, Lea V, Jones NR. Tobacco use, exposure to secondhand smoke, and cessation counseling among medical students: Cross-country data from the Global Health Professions Student Survey (GHPSS), 2005-2008. BMC Public Health. 2011 Feb 1;11(1):1–16. </w:t>
      </w:r>
    </w:p>
    <w:p w14:paraId="76286DAE" w14:textId="77777777" w:rsidR="00213163" w:rsidRPr="00116CFE" w:rsidRDefault="00213163" w:rsidP="00213163">
      <w:pPr>
        <w:pStyle w:val="Bibliography"/>
        <w:rPr>
          <w:rFonts w:ascii="Arial" w:hAnsi="Arial" w:cs="Arial"/>
          <w:sz w:val="20"/>
          <w:szCs w:val="20"/>
        </w:rPr>
      </w:pPr>
      <w:r w:rsidRPr="00116CFE">
        <w:rPr>
          <w:rFonts w:ascii="Arial" w:hAnsi="Arial" w:cs="Arial"/>
          <w:sz w:val="20"/>
          <w:szCs w:val="20"/>
        </w:rPr>
        <w:t xml:space="preserve">17. </w:t>
      </w:r>
      <w:r w:rsidRPr="00116CFE">
        <w:rPr>
          <w:rFonts w:ascii="Arial" w:hAnsi="Arial" w:cs="Arial"/>
          <w:sz w:val="20"/>
          <w:szCs w:val="20"/>
        </w:rPr>
        <w:tab/>
        <w:t xml:space="preserve">Do YK, Bautista MA. Medical students’ tobacco use and attitudes towards tobacco control. Med Educ. 2013;47(6):607–16. </w:t>
      </w:r>
    </w:p>
    <w:p w14:paraId="080495F0" w14:textId="77777777" w:rsidR="00213163" w:rsidRPr="00116CFE" w:rsidRDefault="00213163" w:rsidP="00213163">
      <w:pPr>
        <w:pStyle w:val="Bibliography"/>
        <w:rPr>
          <w:rFonts w:ascii="Arial" w:hAnsi="Arial" w:cs="Arial"/>
          <w:sz w:val="20"/>
          <w:szCs w:val="20"/>
        </w:rPr>
      </w:pPr>
      <w:r w:rsidRPr="00116CFE">
        <w:rPr>
          <w:rFonts w:ascii="Arial" w:hAnsi="Arial" w:cs="Arial"/>
          <w:sz w:val="20"/>
          <w:szCs w:val="20"/>
        </w:rPr>
        <w:t xml:space="preserve">18. </w:t>
      </w:r>
      <w:r w:rsidRPr="00116CFE">
        <w:rPr>
          <w:rFonts w:ascii="Arial" w:hAnsi="Arial" w:cs="Arial"/>
          <w:sz w:val="20"/>
          <w:szCs w:val="20"/>
        </w:rPr>
        <w:tab/>
        <w:t xml:space="preserve">Vrazic H, Ljubicic D, Schneider NK. Tobacco use and cessation among medical students in Croatia - Results of the Global Health Professionals Pilot Survey (GHPS) in Croatia, 2005. Int J Public Health. 2008;53(2):111–7. </w:t>
      </w:r>
    </w:p>
    <w:p w14:paraId="32F8D70E" w14:textId="77777777" w:rsidR="00213163" w:rsidRPr="00116CFE" w:rsidRDefault="00213163" w:rsidP="00213163">
      <w:pPr>
        <w:pStyle w:val="Bibliography"/>
        <w:rPr>
          <w:rFonts w:ascii="Arial" w:hAnsi="Arial" w:cs="Arial"/>
          <w:sz w:val="20"/>
          <w:szCs w:val="20"/>
        </w:rPr>
      </w:pPr>
      <w:r w:rsidRPr="00116CFE">
        <w:rPr>
          <w:rFonts w:ascii="Arial" w:hAnsi="Arial" w:cs="Arial"/>
          <w:sz w:val="20"/>
          <w:szCs w:val="20"/>
        </w:rPr>
        <w:t xml:space="preserve">19. </w:t>
      </w:r>
      <w:r w:rsidRPr="00116CFE">
        <w:rPr>
          <w:rFonts w:ascii="Arial" w:hAnsi="Arial" w:cs="Arial"/>
          <w:sz w:val="20"/>
          <w:szCs w:val="20"/>
        </w:rPr>
        <w:tab/>
        <w:t xml:space="preserve">HEATHERTON TF, KOZLOWSKI LT, FRECKER RC, FAGERSTROM K </w:t>
      </w:r>
      <w:r w:rsidRPr="00116CFE">
        <w:rPr>
          <w:rFonts w:ascii="Cambria Math" w:hAnsi="Cambria Math" w:cs="Cambria Math"/>
          <w:sz w:val="20"/>
          <w:szCs w:val="20"/>
        </w:rPr>
        <w:t>‐</w:t>
      </w:r>
      <w:r w:rsidRPr="00116CFE">
        <w:rPr>
          <w:rFonts w:ascii="Arial" w:hAnsi="Arial" w:cs="Arial"/>
          <w:sz w:val="20"/>
          <w:szCs w:val="20"/>
        </w:rPr>
        <w:t xml:space="preserve">O. The Fagerström Test for Nicotine Dependence: a revision of the Fagerstrom Tolerance Questionnaire. Br J Addict. 1991 Sep 1;86(9):1119–27. </w:t>
      </w:r>
    </w:p>
    <w:p w14:paraId="0F5EF6C7" w14:textId="77777777" w:rsidR="00213163" w:rsidRPr="00116CFE" w:rsidRDefault="00213163" w:rsidP="00213163">
      <w:pPr>
        <w:pStyle w:val="Bibliography"/>
        <w:rPr>
          <w:rFonts w:ascii="Arial" w:hAnsi="Arial" w:cs="Arial"/>
          <w:sz w:val="20"/>
          <w:szCs w:val="20"/>
        </w:rPr>
      </w:pPr>
      <w:r w:rsidRPr="00116CFE">
        <w:rPr>
          <w:rFonts w:ascii="Arial" w:hAnsi="Arial" w:cs="Arial"/>
          <w:sz w:val="20"/>
          <w:szCs w:val="20"/>
        </w:rPr>
        <w:t xml:space="preserve">20. </w:t>
      </w:r>
      <w:r w:rsidRPr="00116CFE">
        <w:rPr>
          <w:rFonts w:ascii="Arial" w:hAnsi="Arial" w:cs="Arial"/>
          <w:sz w:val="20"/>
          <w:szCs w:val="20"/>
        </w:rPr>
        <w:tab/>
        <w:t xml:space="preserve">Haighton CA, Newbury-Birch D, Kaner EFS. Screening and Interventions in Medical Settings Including Brief Feedback-Focused Interventions. In: Interventions For Addiction. Elsevier Inc.; 2013. p. 287–98. </w:t>
      </w:r>
    </w:p>
    <w:p w14:paraId="492DD6BB" w14:textId="77777777" w:rsidR="00213163" w:rsidRPr="00116CFE" w:rsidRDefault="00213163" w:rsidP="00213163">
      <w:pPr>
        <w:pStyle w:val="Bibliography"/>
        <w:rPr>
          <w:rFonts w:ascii="Arial" w:hAnsi="Arial" w:cs="Arial"/>
          <w:sz w:val="20"/>
          <w:szCs w:val="20"/>
        </w:rPr>
      </w:pPr>
      <w:r w:rsidRPr="00116CFE">
        <w:rPr>
          <w:rFonts w:ascii="Arial" w:hAnsi="Arial" w:cs="Arial"/>
          <w:sz w:val="20"/>
          <w:szCs w:val="20"/>
        </w:rPr>
        <w:t xml:space="preserve">21. </w:t>
      </w:r>
      <w:r w:rsidRPr="00116CFE">
        <w:rPr>
          <w:rFonts w:ascii="Arial" w:hAnsi="Arial" w:cs="Arial"/>
          <w:sz w:val="20"/>
          <w:szCs w:val="20"/>
        </w:rPr>
        <w:tab/>
        <w:t xml:space="preserve">Rustin TA. Assessing Nicotine Dependence. Am Fam Physician. 2000 Aug 1;62(3):579. </w:t>
      </w:r>
    </w:p>
    <w:p w14:paraId="7E93A4BD" w14:textId="77777777" w:rsidR="00213163" w:rsidRPr="00116CFE" w:rsidRDefault="00213163" w:rsidP="00213163">
      <w:pPr>
        <w:pStyle w:val="Bibliography"/>
        <w:rPr>
          <w:rFonts w:ascii="Arial" w:hAnsi="Arial" w:cs="Arial"/>
          <w:sz w:val="20"/>
          <w:szCs w:val="20"/>
        </w:rPr>
      </w:pPr>
      <w:r w:rsidRPr="00116CFE">
        <w:rPr>
          <w:rFonts w:ascii="Arial" w:hAnsi="Arial" w:cs="Arial"/>
          <w:sz w:val="20"/>
          <w:szCs w:val="20"/>
        </w:rPr>
        <w:lastRenderedPageBreak/>
        <w:t xml:space="preserve">22. </w:t>
      </w:r>
      <w:r w:rsidRPr="00116CFE">
        <w:rPr>
          <w:rFonts w:ascii="Arial" w:hAnsi="Arial" w:cs="Arial"/>
          <w:sz w:val="20"/>
          <w:szCs w:val="20"/>
        </w:rPr>
        <w:tab/>
        <w:t>Instrument: Fagerstrom Test for Nicotine Dependence (FTND) | NIDA CTN Common Data Elements [Internet]. [cited 2021 Jun 23]. Available from: https://cde.drugabuse.gov/instrument/d7c0b0f5-b865-e4de-e040-bb89ad43202b</w:t>
      </w:r>
    </w:p>
    <w:p w14:paraId="0123DA94" w14:textId="77777777" w:rsidR="00213163" w:rsidRPr="00116CFE" w:rsidRDefault="00213163" w:rsidP="00213163">
      <w:pPr>
        <w:pStyle w:val="Bibliography"/>
        <w:rPr>
          <w:rFonts w:ascii="Arial" w:hAnsi="Arial" w:cs="Arial"/>
          <w:sz w:val="20"/>
          <w:szCs w:val="20"/>
        </w:rPr>
      </w:pPr>
      <w:r w:rsidRPr="00116CFE">
        <w:rPr>
          <w:rFonts w:ascii="Arial" w:hAnsi="Arial" w:cs="Arial"/>
          <w:sz w:val="20"/>
          <w:szCs w:val="20"/>
        </w:rPr>
        <w:t xml:space="preserve">23. </w:t>
      </w:r>
      <w:r w:rsidRPr="00116CFE">
        <w:rPr>
          <w:rFonts w:ascii="Arial" w:hAnsi="Arial" w:cs="Arial"/>
          <w:sz w:val="20"/>
          <w:szCs w:val="20"/>
        </w:rPr>
        <w:tab/>
        <w:t xml:space="preserve">Šagud M, Vuksan-Ćusa B, Jakšić N, Mihaljević-Peleš A, Živković M, Vlatković S, et al. Nicotine dependence in Croatian male inpatients with Schizophrenia. BMC Psychiatry. 2018 Jan 22;18(1):1–9. </w:t>
      </w:r>
    </w:p>
    <w:p w14:paraId="5785133E" w14:textId="77777777" w:rsidR="00213163" w:rsidRPr="00116CFE" w:rsidRDefault="00213163" w:rsidP="00213163">
      <w:pPr>
        <w:pStyle w:val="Bibliography"/>
        <w:rPr>
          <w:rFonts w:ascii="Arial" w:hAnsi="Arial" w:cs="Arial"/>
          <w:sz w:val="20"/>
          <w:szCs w:val="20"/>
        </w:rPr>
      </w:pPr>
      <w:r w:rsidRPr="00116CFE">
        <w:rPr>
          <w:rFonts w:ascii="Arial" w:hAnsi="Arial" w:cs="Arial"/>
          <w:sz w:val="20"/>
          <w:szCs w:val="20"/>
        </w:rPr>
        <w:t xml:space="preserve">24. </w:t>
      </w:r>
      <w:r w:rsidRPr="00116CFE">
        <w:rPr>
          <w:rFonts w:ascii="Arial" w:hAnsi="Arial" w:cs="Arial"/>
          <w:sz w:val="20"/>
          <w:szCs w:val="20"/>
        </w:rPr>
        <w:tab/>
        <w:t xml:space="preserve">Šagud M, Petrović B, Vilibić M, Mihaljević-Peleš A, Vuksan-Ćusa B, Radoš I, et al. The relationship among psychopathology, religiosity, and nicotine dependence in Croatian war veterans with posttraumatic stress disorder. Croat Med J. 2018 Aug 31;59(4):165–77. </w:t>
      </w:r>
    </w:p>
    <w:p w14:paraId="27400333" w14:textId="77777777" w:rsidR="00213163" w:rsidRPr="00116CFE" w:rsidRDefault="00213163" w:rsidP="00213163">
      <w:pPr>
        <w:pStyle w:val="Bibliography"/>
        <w:rPr>
          <w:rFonts w:ascii="Arial" w:hAnsi="Arial" w:cs="Arial"/>
          <w:sz w:val="20"/>
          <w:szCs w:val="20"/>
        </w:rPr>
      </w:pPr>
      <w:r w:rsidRPr="00116CFE">
        <w:rPr>
          <w:rFonts w:ascii="Arial" w:hAnsi="Arial" w:cs="Arial"/>
          <w:sz w:val="20"/>
          <w:szCs w:val="20"/>
        </w:rPr>
        <w:t xml:space="preserve">25. </w:t>
      </w:r>
      <w:r w:rsidRPr="00116CFE">
        <w:rPr>
          <w:rFonts w:ascii="Arial" w:hAnsi="Arial" w:cs="Arial"/>
          <w:sz w:val="20"/>
          <w:szCs w:val="20"/>
        </w:rPr>
        <w:tab/>
        <w:t xml:space="preserve">Becoña E, Vázquez FL. The Fagerström Test for Nicotine Dependence in a Spanish sample. Psychol Rep. 1998 Sep 1;83(3 PART 2):1455–8. </w:t>
      </w:r>
    </w:p>
    <w:p w14:paraId="5DC77A04" w14:textId="77777777" w:rsidR="00213163" w:rsidRPr="00116CFE" w:rsidRDefault="00213163" w:rsidP="00213163">
      <w:pPr>
        <w:pStyle w:val="Bibliography"/>
        <w:rPr>
          <w:rFonts w:ascii="Arial" w:hAnsi="Arial" w:cs="Arial"/>
          <w:sz w:val="20"/>
          <w:szCs w:val="20"/>
        </w:rPr>
      </w:pPr>
      <w:r w:rsidRPr="00116CFE">
        <w:rPr>
          <w:rFonts w:ascii="Arial" w:hAnsi="Arial" w:cs="Arial"/>
          <w:sz w:val="20"/>
          <w:szCs w:val="20"/>
        </w:rPr>
        <w:t xml:space="preserve">26. </w:t>
      </w:r>
      <w:r w:rsidRPr="00116CFE">
        <w:rPr>
          <w:rFonts w:ascii="Arial" w:hAnsi="Arial" w:cs="Arial"/>
          <w:sz w:val="20"/>
          <w:szCs w:val="20"/>
        </w:rPr>
        <w:tab/>
        <w:t xml:space="preserve">Mandil A, BinSaeed A, Ahmad S, Al-Dabbagh R, Alsaadi M, Khan M. Smoking among university students: A gender analysis. J Infect Public Health. 2010 Dec 1;3(4):179–87. </w:t>
      </w:r>
    </w:p>
    <w:p w14:paraId="48A0D806" w14:textId="77777777" w:rsidR="00213163" w:rsidRPr="00116CFE" w:rsidRDefault="00213163" w:rsidP="00213163">
      <w:pPr>
        <w:pStyle w:val="Bibliography"/>
        <w:rPr>
          <w:rFonts w:ascii="Arial" w:hAnsi="Arial" w:cs="Arial"/>
          <w:sz w:val="20"/>
          <w:szCs w:val="20"/>
        </w:rPr>
      </w:pPr>
      <w:r w:rsidRPr="00116CFE">
        <w:rPr>
          <w:rFonts w:ascii="Arial" w:hAnsi="Arial" w:cs="Arial"/>
          <w:sz w:val="20"/>
          <w:szCs w:val="20"/>
        </w:rPr>
        <w:t xml:space="preserve">27. </w:t>
      </w:r>
      <w:r w:rsidRPr="00116CFE">
        <w:rPr>
          <w:rFonts w:ascii="Arial" w:hAnsi="Arial" w:cs="Arial"/>
          <w:sz w:val="20"/>
          <w:szCs w:val="20"/>
        </w:rPr>
        <w:tab/>
        <w:t xml:space="preserve">Mayer DD, Šimetin DIP, Belavić A, Hemen M. SVJETSKO ISTRAŽIVANJE O UPORABI DUHANA U MLADIH. :70. </w:t>
      </w:r>
    </w:p>
    <w:p w14:paraId="5D8C3F96" w14:textId="77777777" w:rsidR="00213163" w:rsidRPr="00116CFE" w:rsidRDefault="00213163" w:rsidP="00213163">
      <w:pPr>
        <w:pStyle w:val="Bibliography"/>
        <w:rPr>
          <w:rFonts w:ascii="Arial" w:hAnsi="Arial" w:cs="Arial"/>
          <w:sz w:val="20"/>
          <w:szCs w:val="20"/>
        </w:rPr>
      </w:pPr>
      <w:r w:rsidRPr="00116CFE">
        <w:rPr>
          <w:rFonts w:ascii="Arial" w:hAnsi="Arial" w:cs="Arial"/>
          <w:sz w:val="20"/>
          <w:szCs w:val="20"/>
        </w:rPr>
        <w:t xml:space="preserve">28. </w:t>
      </w:r>
      <w:r w:rsidRPr="00116CFE">
        <w:rPr>
          <w:rFonts w:ascii="Arial" w:hAnsi="Arial" w:cs="Arial"/>
          <w:sz w:val="20"/>
          <w:szCs w:val="20"/>
        </w:rPr>
        <w:tab/>
        <w:t xml:space="preserve">Cosgrove KP, Wang S, Kim SJ, McGovern E, Nabulsi N, Gao H, et al. Sex differences in the brain’s dopamine signature of cigarette smoking. J Neurosci. 2014;34(50):16851–5. </w:t>
      </w:r>
    </w:p>
    <w:p w14:paraId="68703C6D" w14:textId="77777777" w:rsidR="00213163" w:rsidRPr="00116CFE" w:rsidRDefault="00213163" w:rsidP="00213163">
      <w:pPr>
        <w:pStyle w:val="Bibliography"/>
        <w:rPr>
          <w:rFonts w:ascii="Arial" w:hAnsi="Arial" w:cs="Arial"/>
          <w:sz w:val="20"/>
          <w:szCs w:val="20"/>
        </w:rPr>
      </w:pPr>
      <w:r w:rsidRPr="00116CFE">
        <w:rPr>
          <w:rFonts w:ascii="Arial" w:hAnsi="Arial" w:cs="Arial"/>
          <w:sz w:val="20"/>
          <w:szCs w:val="20"/>
        </w:rPr>
        <w:t xml:space="preserve">29. </w:t>
      </w:r>
      <w:r w:rsidRPr="00116CFE">
        <w:rPr>
          <w:rFonts w:ascii="Arial" w:hAnsi="Arial" w:cs="Arial"/>
          <w:sz w:val="20"/>
          <w:szCs w:val="20"/>
        </w:rPr>
        <w:tab/>
        <w:t xml:space="preserve">Han MY, Chen WQ, Wen XZ, Liang CH, Ling WH. Differences of smoking knowledge, attitudes, and behaviors between medical and non-medical students. Int J Behav Med. 2012;19(1):104–10. </w:t>
      </w:r>
    </w:p>
    <w:p w14:paraId="34CB00C2" w14:textId="77777777" w:rsidR="00213163" w:rsidRPr="00116CFE" w:rsidRDefault="00213163" w:rsidP="00213163">
      <w:pPr>
        <w:pStyle w:val="Bibliography"/>
        <w:rPr>
          <w:rFonts w:ascii="Arial" w:hAnsi="Arial" w:cs="Arial"/>
          <w:sz w:val="20"/>
          <w:szCs w:val="20"/>
        </w:rPr>
      </w:pPr>
      <w:r w:rsidRPr="00116CFE">
        <w:rPr>
          <w:rFonts w:ascii="Arial" w:hAnsi="Arial" w:cs="Arial"/>
          <w:sz w:val="20"/>
          <w:szCs w:val="20"/>
        </w:rPr>
        <w:t xml:space="preserve">30. </w:t>
      </w:r>
      <w:r w:rsidRPr="00116CFE">
        <w:rPr>
          <w:rFonts w:ascii="Arial" w:hAnsi="Arial" w:cs="Arial"/>
          <w:sz w:val="20"/>
          <w:szCs w:val="20"/>
        </w:rPr>
        <w:tab/>
        <w:t xml:space="preserve">Komar K, Glavina A, Boras VV, Verzak Ž, Brailo V. Impact of smoking on oral health: Knowledge and attitudes of dentists and dental students. Acta Stomatol Croat. 2018 Jun 1;52(2):148–55. </w:t>
      </w:r>
    </w:p>
    <w:p w14:paraId="6AE8E02D" w14:textId="77777777" w:rsidR="00213163" w:rsidRPr="00116CFE" w:rsidRDefault="00213163" w:rsidP="00213163">
      <w:pPr>
        <w:pStyle w:val="Bibliography"/>
        <w:rPr>
          <w:rFonts w:ascii="Arial" w:hAnsi="Arial" w:cs="Arial"/>
          <w:sz w:val="20"/>
          <w:szCs w:val="20"/>
        </w:rPr>
      </w:pPr>
      <w:r w:rsidRPr="00116CFE">
        <w:rPr>
          <w:rFonts w:ascii="Arial" w:hAnsi="Arial" w:cs="Arial"/>
          <w:sz w:val="20"/>
          <w:szCs w:val="20"/>
        </w:rPr>
        <w:t xml:space="preserve">31. </w:t>
      </w:r>
      <w:r w:rsidRPr="00116CFE">
        <w:rPr>
          <w:rFonts w:ascii="Arial" w:hAnsi="Arial" w:cs="Arial"/>
          <w:sz w:val="20"/>
          <w:szCs w:val="20"/>
        </w:rPr>
        <w:tab/>
        <w:t xml:space="preserve">Niu L, Liu Y, Luo D, Xiao S. Current Smoking Behavior Among Medical Students in Mainland China: A Systematic Review and Meta-Analysis. Asia Pac J Public Health. 2018;30(7):610–23. </w:t>
      </w:r>
    </w:p>
    <w:p w14:paraId="02ED060D" w14:textId="77777777" w:rsidR="00213163" w:rsidRPr="00116CFE" w:rsidRDefault="00213163" w:rsidP="00213163">
      <w:pPr>
        <w:pStyle w:val="Bibliography"/>
        <w:rPr>
          <w:rFonts w:ascii="Arial" w:hAnsi="Arial" w:cs="Arial"/>
          <w:sz w:val="20"/>
          <w:szCs w:val="20"/>
        </w:rPr>
      </w:pPr>
      <w:r w:rsidRPr="00116CFE">
        <w:rPr>
          <w:rFonts w:ascii="Arial" w:hAnsi="Arial" w:cs="Arial"/>
          <w:sz w:val="20"/>
          <w:szCs w:val="20"/>
        </w:rPr>
        <w:t xml:space="preserve">32. </w:t>
      </w:r>
      <w:r w:rsidRPr="00116CFE">
        <w:rPr>
          <w:rFonts w:ascii="Arial" w:hAnsi="Arial" w:cs="Arial"/>
          <w:sz w:val="20"/>
          <w:szCs w:val="20"/>
        </w:rPr>
        <w:tab/>
        <w:t xml:space="preserve">Salgado MV, Mejía RM, Kaplan CP, Pérez-Stable EJ. Smoking-Related Attitudes and Knowledge Among Medical Students and Recent Graduates in Argentina: A Cross-Sectional Study. J Gen Intern Med. 2017 May 1;32(5):549–55. </w:t>
      </w:r>
    </w:p>
    <w:p w14:paraId="5A0DE32F" w14:textId="77777777" w:rsidR="00213163" w:rsidRPr="00116CFE" w:rsidRDefault="00213163" w:rsidP="00213163">
      <w:pPr>
        <w:pStyle w:val="Bibliography"/>
        <w:rPr>
          <w:rFonts w:ascii="Arial" w:hAnsi="Arial" w:cs="Arial"/>
          <w:sz w:val="20"/>
          <w:szCs w:val="20"/>
        </w:rPr>
      </w:pPr>
      <w:r w:rsidRPr="00116CFE">
        <w:rPr>
          <w:rFonts w:ascii="Arial" w:hAnsi="Arial" w:cs="Arial"/>
          <w:sz w:val="20"/>
          <w:szCs w:val="20"/>
        </w:rPr>
        <w:t xml:space="preserve">33. </w:t>
      </w:r>
      <w:r w:rsidRPr="00116CFE">
        <w:rPr>
          <w:rFonts w:ascii="Arial" w:hAnsi="Arial" w:cs="Arial"/>
          <w:sz w:val="20"/>
          <w:szCs w:val="20"/>
        </w:rPr>
        <w:tab/>
        <w:t xml:space="preserve">Kritsotakis G, Psarrou M, Vassilaki M, Androulaki Z, Philalithis AE. Gender differences in the prevalence and clustering of multiple health risk behaviours in young adults. J Adv Nurs. 2016 Sep 1;72(9):2098–113. </w:t>
      </w:r>
    </w:p>
    <w:p w14:paraId="61D16056" w14:textId="77777777" w:rsidR="00213163" w:rsidRPr="00116CFE" w:rsidRDefault="00213163" w:rsidP="00213163">
      <w:pPr>
        <w:pStyle w:val="Bibliography"/>
        <w:rPr>
          <w:rFonts w:ascii="Arial" w:hAnsi="Arial" w:cs="Arial"/>
          <w:sz w:val="20"/>
          <w:szCs w:val="20"/>
        </w:rPr>
      </w:pPr>
      <w:r w:rsidRPr="00116CFE">
        <w:rPr>
          <w:rFonts w:ascii="Arial" w:hAnsi="Arial" w:cs="Arial"/>
          <w:sz w:val="20"/>
          <w:szCs w:val="20"/>
        </w:rPr>
        <w:t xml:space="preserve">34. </w:t>
      </w:r>
      <w:r w:rsidRPr="00116CFE">
        <w:rPr>
          <w:rFonts w:ascii="Arial" w:hAnsi="Arial" w:cs="Arial"/>
          <w:sz w:val="20"/>
          <w:szCs w:val="20"/>
        </w:rPr>
        <w:tab/>
        <w:t xml:space="preserve">Hiller J, Schatz K, Drexler H. Gender influence on health and risk behavior in primary prevention: a systematic review. Vol. 25, Journal of Public Health (Germany). Springer Verlag; 2017. p. 339–49. </w:t>
      </w:r>
    </w:p>
    <w:p w14:paraId="3869A10E" w14:textId="77777777" w:rsidR="00213163" w:rsidRPr="00116CFE" w:rsidRDefault="00213163" w:rsidP="00213163">
      <w:pPr>
        <w:pStyle w:val="Bibliography"/>
        <w:rPr>
          <w:rFonts w:ascii="Arial" w:hAnsi="Arial" w:cs="Arial"/>
          <w:sz w:val="20"/>
          <w:szCs w:val="20"/>
        </w:rPr>
      </w:pPr>
      <w:r w:rsidRPr="00116CFE">
        <w:rPr>
          <w:rFonts w:ascii="Arial" w:hAnsi="Arial" w:cs="Arial"/>
          <w:sz w:val="20"/>
          <w:szCs w:val="20"/>
        </w:rPr>
        <w:t xml:space="preserve">35. </w:t>
      </w:r>
      <w:r w:rsidRPr="00116CFE">
        <w:rPr>
          <w:rFonts w:ascii="Arial" w:hAnsi="Arial" w:cs="Arial"/>
          <w:sz w:val="20"/>
          <w:szCs w:val="20"/>
        </w:rPr>
        <w:tab/>
        <w:t xml:space="preserve">Samara AA, Rachiotis G, Pettemeridou S, Papastamatiou K, Tourlakopoulos K, Chelioti E, et al. Prevalence of tobacco use, exposure to secondhand smoke and knowledge on smoking cessation among students of health professions in Central Greece: A cross-sectional study. BMJ Open. 2020 Oct 21;10(10). </w:t>
      </w:r>
    </w:p>
    <w:p w14:paraId="47545972" w14:textId="77777777" w:rsidR="00213163" w:rsidRPr="00116CFE" w:rsidRDefault="00213163" w:rsidP="00213163">
      <w:pPr>
        <w:pStyle w:val="Bibliography"/>
        <w:rPr>
          <w:rFonts w:ascii="Arial" w:hAnsi="Arial" w:cs="Arial"/>
          <w:sz w:val="20"/>
          <w:szCs w:val="20"/>
        </w:rPr>
      </w:pPr>
      <w:r w:rsidRPr="00116CFE">
        <w:rPr>
          <w:rFonts w:ascii="Arial" w:hAnsi="Arial" w:cs="Arial"/>
          <w:sz w:val="20"/>
          <w:szCs w:val="20"/>
        </w:rPr>
        <w:t xml:space="preserve">36. </w:t>
      </w:r>
      <w:r w:rsidRPr="00116CFE">
        <w:rPr>
          <w:rFonts w:ascii="Arial" w:hAnsi="Arial" w:cs="Arial"/>
          <w:sz w:val="20"/>
          <w:szCs w:val="20"/>
        </w:rPr>
        <w:tab/>
        <w:t xml:space="preserve">Ljubicic D, Schneider NK, Vrazic H. Attitudes and knowledge of third year medical students in Croatia about tobacco control strategies: results of the Global Health Professionals Pilot Survey in Croatia, 2005. Public Health. 2008;122(12):1339–42. </w:t>
      </w:r>
    </w:p>
    <w:p w14:paraId="09F84F92" w14:textId="77777777" w:rsidR="00213163" w:rsidRPr="00116CFE" w:rsidRDefault="00213163" w:rsidP="00213163">
      <w:pPr>
        <w:pStyle w:val="Bibliography"/>
        <w:rPr>
          <w:rFonts w:ascii="Arial" w:hAnsi="Arial" w:cs="Arial"/>
          <w:sz w:val="20"/>
          <w:szCs w:val="20"/>
        </w:rPr>
      </w:pPr>
      <w:r w:rsidRPr="00116CFE">
        <w:rPr>
          <w:rFonts w:ascii="Arial" w:hAnsi="Arial" w:cs="Arial"/>
          <w:sz w:val="20"/>
          <w:szCs w:val="20"/>
        </w:rPr>
        <w:t xml:space="preserve">37. </w:t>
      </w:r>
      <w:r w:rsidRPr="00116CFE">
        <w:rPr>
          <w:rFonts w:ascii="Arial" w:hAnsi="Arial" w:cs="Arial"/>
          <w:sz w:val="20"/>
          <w:szCs w:val="20"/>
        </w:rPr>
        <w:tab/>
        <w:t xml:space="preserve">Fichtenberg CM, Glantz SA. Effect of smoke-free workplaces on smoking behaviour: Systematic review. Vol. 325, British Medical Journal. BMJ; 2002. p. 188–91. </w:t>
      </w:r>
    </w:p>
    <w:p w14:paraId="16114FC3" w14:textId="77777777" w:rsidR="00213163" w:rsidRPr="00116CFE" w:rsidRDefault="00213163" w:rsidP="00213163">
      <w:pPr>
        <w:pStyle w:val="Bibliography"/>
        <w:rPr>
          <w:rFonts w:ascii="Arial" w:hAnsi="Arial" w:cs="Arial"/>
          <w:sz w:val="20"/>
          <w:szCs w:val="20"/>
        </w:rPr>
      </w:pPr>
      <w:r w:rsidRPr="00116CFE">
        <w:rPr>
          <w:rFonts w:ascii="Arial" w:hAnsi="Arial" w:cs="Arial"/>
          <w:sz w:val="20"/>
          <w:szCs w:val="20"/>
        </w:rPr>
        <w:lastRenderedPageBreak/>
        <w:t xml:space="preserve">38. </w:t>
      </w:r>
      <w:r w:rsidRPr="00116CFE">
        <w:rPr>
          <w:rFonts w:ascii="Arial" w:hAnsi="Arial" w:cs="Arial"/>
          <w:sz w:val="20"/>
          <w:szCs w:val="20"/>
        </w:rPr>
        <w:tab/>
        <w:t xml:space="preserve">Pipe A, Sorensen M, Reid R. Physician smoking status, attitudes toward smoking, and cessation advice to patients: An international survey. Patient Educ Couns. 2009;74(1):118–23. </w:t>
      </w:r>
    </w:p>
    <w:p w14:paraId="312D9666" w14:textId="77777777" w:rsidR="00213163" w:rsidRPr="00116CFE" w:rsidRDefault="00213163" w:rsidP="00213163">
      <w:pPr>
        <w:pStyle w:val="Bibliography"/>
        <w:rPr>
          <w:rFonts w:ascii="Arial" w:hAnsi="Arial" w:cs="Arial"/>
          <w:sz w:val="20"/>
          <w:szCs w:val="20"/>
        </w:rPr>
      </w:pPr>
      <w:r w:rsidRPr="00116CFE">
        <w:rPr>
          <w:rFonts w:ascii="Arial" w:hAnsi="Arial" w:cs="Arial"/>
          <w:sz w:val="20"/>
          <w:szCs w:val="20"/>
        </w:rPr>
        <w:t xml:space="preserve">39. </w:t>
      </w:r>
      <w:r w:rsidRPr="00116CFE">
        <w:rPr>
          <w:rFonts w:ascii="Arial" w:hAnsi="Arial" w:cs="Arial"/>
          <w:sz w:val="20"/>
          <w:szCs w:val="20"/>
        </w:rPr>
        <w:tab/>
        <w:t xml:space="preserve">Radman M, Glavina A, Sabol I, Mravak-Stipetić M. Knowledge of oral cancer among the fourth and fifth year dental students. Acta Stomatol Croat. 2018;52(4):340–7. </w:t>
      </w:r>
    </w:p>
    <w:p w14:paraId="689FCA6F" w14:textId="50F9377B" w:rsidR="00B67FA8" w:rsidRPr="00B67FA8" w:rsidRDefault="00B67FA8" w:rsidP="00B67FA8">
      <w:r w:rsidRPr="00116CFE">
        <w:rPr>
          <w:rFonts w:ascii="Arial" w:hAnsi="Arial" w:cs="Arial"/>
          <w:sz w:val="20"/>
          <w:szCs w:val="20"/>
        </w:rPr>
        <w:fldChar w:fldCharType="end"/>
      </w:r>
    </w:p>
    <w:p w14:paraId="2492DF8C" w14:textId="718CE198" w:rsidR="00076856" w:rsidRPr="00244ECF" w:rsidRDefault="00D81F52" w:rsidP="00756C58">
      <w:pPr>
        <w:pStyle w:val="Heading1"/>
        <w:spacing w:line="360" w:lineRule="auto"/>
        <w:rPr>
          <w:rFonts w:ascii="Arial" w:hAnsi="Arial" w:cs="Arial"/>
          <w:sz w:val="24"/>
          <w:szCs w:val="24"/>
        </w:rPr>
      </w:pPr>
      <w:bookmarkStart w:id="54" w:name="_Toc75635817"/>
      <w:r>
        <w:rPr>
          <w:rFonts w:ascii="Arial" w:hAnsi="Arial" w:cs="Arial"/>
          <w:sz w:val="24"/>
          <w:szCs w:val="24"/>
        </w:rPr>
        <w:br w:type="page"/>
      </w:r>
      <w:r w:rsidR="00DE4299" w:rsidRPr="00244ECF">
        <w:rPr>
          <w:rFonts w:ascii="Arial" w:hAnsi="Arial" w:cs="Arial"/>
          <w:sz w:val="24"/>
          <w:szCs w:val="24"/>
        </w:rPr>
        <w:lastRenderedPageBreak/>
        <w:t>9. SAŽETAK</w:t>
      </w:r>
      <w:bookmarkEnd w:id="54"/>
    </w:p>
    <w:p w14:paraId="3196C4AB" w14:textId="77777777" w:rsidR="00975EF7" w:rsidRPr="006D15B2" w:rsidRDefault="00975EF7" w:rsidP="00756C58">
      <w:pPr>
        <w:spacing w:after="0" w:line="360" w:lineRule="auto"/>
        <w:jc w:val="both"/>
        <w:rPr>
          <w:rFonts w:ascii="Times New Roman" w:eastAsia="Times New Roman" w:hAnsi="Times New Roman" w:cs="Times New Roman"/>
          <w:szCs w:val="24"/>
        </w:rPr>
      </w:pPr>
      <w:r w:rsidRPr="006D15B2">
        <w:rPr>
          <w:rFonts w:ascii="Arial" w:eastAsia="Times New Roman" w:hAnsi="Arial" w:cs="Arial"/>
          <w:b/>
          <w:bCs/>
          <w:color w:val="000000"/>
          <w:sz w:val="20"/>
        </w:rPr>
        <w:t>Razina ovisnosti o nikotinu i spremnost za prihvaćanje medikamentozne potpore u prestanku pušenja među studentima u Republici Hrvatskoj</w:t>
      </w:r>
    </w:p>
    <w:p w14:paraId="0003A08D" w14:textId="77777777" w:rsidR="00756C58" w:rsidRPr="006D15B2" w:rsidRDefault="00756C58" w:rsidP="00756C58">
      <w:pPr>
        <w:spacing w:after="0" w:line="360" w:lineRule="auto"/>
        <w:rPr>
          <w:rFonts w:ascii="Times New Roman" w:eastAsia="Times New Roman" w:hAnsi="Times New Roman" w:cs="Times New Roman"/>
          <w:szCs w:val="24"/>
        </w:rPr>
      </w:pPr>
    </w:p>
    <w:p w14:paraId="2632FF31" w14:textId="77777777" w:rsidR="00975EF7" w:rsidRPr="006D15B2" w:rsidRDefault="00975EF7" w:rsidP="00756C58">
      <w:pPr>
        <w:spacing w:after="0" w:line="360" w:lineRule="auto"/>
        <w:rPr>
          <w:rFonts w:ascii="Times New Roman" w:eastAsia="Times New Roman" w:hAnsi="Times New Roman" w:cs="Times New Roman"/>
          <w:szCs w:val="24"/>
        </w:rPr>
      </w:pPr>
      <w:r w:rsidRPr="006D15B2">
        <w:rPr>
          <w:rFonts w:ascii="Arial" w:eastAsia="Times New Roman" w:hAnsi="Arial" w:cs="Arial"/>
          <w:b/>
          <w:bCs/>
          <w:color w:val="000000"/>
          <w:sz w:val="20"/>
        </w:rPr>
        <w:t>Filip Anton Božinović, Emanuel Brađašević, Ema Kuhar, Tihana Kuljiš, Filip Tiljak</w:t>
      </w:r>
    </w:p>
    <w:p w14:paraId="0D74B699" w14:textId="77777777" w:rsidR="00975EF7" w:rsidRPr="006D15B2" w:rsidRDefault="00975EF7" w:rsidP="00756C58">
      <w:pPr>
        <w:spacing w:before="240" w:after="240" w:line="360" w:lineRule="auto"/>
        <w:jc w:val="both"/>
        <w:rPr>
          <w:rFonts w:ascii="Times New Roman" w:eastAsia="Times New Roman" w:hAnsi="Times New Roman" w:cs="Times New Roman"/>
          <w:szCs w:val="24"/>
        </w:rPr>
      </w:pPr>
      <w:r w:rsidRPr="006D15B2">
        <w:rPr>
          <w:rFonts w:ascii="Arial" w:eastAsia="Times New Roman" w:hAnsi="Arial" w:cs="Arial"/>
          <w:b/>
          <w:bCs/>
          <w:color w:val="000000"/>
          <w:sz w:val="20"/>
        </w:rPr>
        <w:t>Ključne riječi:</w:t>
      </w:r>
      <w:r w:rsidRPr="006D15B2">
        <w:rPr>
          <w:rFonts w:ascii="Arial" w:eastAsia="Times New Roman" w:hAnsi="Arial" w:cs="Arial"/>
          <w:color w:val="000000"/>
          <w:sz w:val="20"/>
        </w:rPr>
        <w:t xml:space="preserve"> pušenje, odvikavanje od pušenja, studentska populacija, Fagerströmov test ovisnosti o nikotinu</w:t>
      </w:r>
    </w:p>
    <w:p w14:paraId="518DCAEF" w14:textId="77777777" w:rsidR="00975EF7" w:rsidRPr="006D15B2" w:rsidRDefault="00975EF7" w:rsidP="00756C58">
      <w:pPr>
        <w:spacing w:before="240" w:after="240" w:line="360" w:lineRule="auto"/>
        <w:jc w:val="both"/>
        <w:rPr>
          <w:rFonts w:ascii="Times New Roman" w:eastAsia="Times New Roman" w:hAnsi="Times New Roman" w:cs="Times New Roman"/>
          <w:szCs w:val="24"/>
        </w:rPr>
      </w:pPr>
      <w:r w:rsidRPr="006D15B2">
        <w:rPr>
          <w:rFonts w:ascii="Arial" w:eastAsia="Times New Roman" w:hAnsi="Arial" w:cs="Arial"/>
          <w:b/>
          <w:bCs/>
          <w:color w:val="000000"/>
          <w:sz w:val="20"/>
        </w:rPr>
        <w:t xml:space="preserve">Uvod: </w:t>
      </w:r>
      <w:r w:rsidRPr="006D15B2">
        <w:rPr>
          <w:rFonts w:ascii="Arial" w:eastAsia="Times New Roman" w:hAnsi="Arial" w:cs="Arial"/>
          <w:color w:val="000000"/>
          <w:sz w:val="20"/>
        </w:rPr>
        <w:t>Hrvatska se nalazi iznad europskog prosjeka po broju pušača u općoj, srednjoškolskoj i studentskoj populaciji. Cilj ovog istraživanja je procjena stupnja ovisnosti o nikotinu u studentskoj populaciji Republike Hrvatske ovisno o spolu i području obrazovanja.</w:t>
      </w:r>
    </w:p>
    <w:p w14:paraId="47AF0F9F" w14:textId="77777777" w:rsidR="00975EF7" w:rsidRPr="006D15B2" w:rsidRDefault="00975EF7" w:rsidP="00756C58">
      <w:pPr>
        <w:spacing w:before="240" w:after="240" w:line="360" w:lineRule="auto"/>
        <w:jc w:val="both"/>
        <w:rPr>
          <w:rFonts w:ascii="Times New Roman" w:eastAsia="Times New Roman" w:hAnsi="Times New Roman" w:cs="Times New Roman"/>
          <w:szCs w:val="24"/>
        </w:rPr>
      </w:pPr>
      <w:r w:rsidRPr="006D15B2">
        <w:rPr>
          <w:rFonts w:ascii="Arial" w:eastAsia="Times New Roman" w:hAnsi="Arial" w:cs="Arial"/>
          <w:b/>
          <w:bCs/>
          <w:color w:val="000000"/>
          <w:sz w:val="20"/>
        </w:rPr>
        <w:t>Metode:</w:t>
      </w:r>
      <w:r w:rsidRPr="006D15B2">
        <w:rPr>
          <w:rFonts w:ascii="Arial" w:eastAsia="Times New Roman" w:hAnsi="Arial" w:cs="Arial"/>
          <w:color w:val="000000"/>
          <w:sz w:val="20"/>
        </w:rPr>
        <w:t xml:space="preserve"> Istraživanje je provedeno slanjem online upitnika studentima Sveučilišta u Zagrebu, Rijeci i Osijeku. Upitnik je sadržavao Fagerströmov test ovisnosti o nikotinu i pitanje o prihvaćanju nikotinske nadomjesne terapije. Za analizu podataka korišten je statistički program IBM SPSS 25, a χ2-test je korišten za utvrđivanje povezanosti među varijablama.</w:t>
      </w:r>
    </w:p>
    <w:p w14:paraId="21F7325C" w14:textId="77777777" w:rsidR="00975EF7" w:rsidRPr="006D15B2" w:rsidRDefault="00975EF7" w:rsidP="00756C58">
      <w:pPr>
        <w:spacing w:before="240" w:after="240" w:line="360" w:lineRule="auto"/>
        <w:jc w:val="both"/>
        <w:rPr>
          <w:rFonts w:ascii="Times New Roman" w:eastAsia="Times New Roman" w:hAnsi="Times New Roman" w:cs="Times New Roman"/>
          <w:szCs w:val="24"/>
        </w:rPr>
      </w:pPr>
      <w:r w:rsidRPr="006D15B2">
        <w:rPr>
          <w:rFonts w:ascii="Arial" w:eastAsia="Times New Roman" w:hAnsi="Arial" w:cs="Arial"/>
          <w:b/>
          <w:bCs/>
          <w:color w:val="000000"/>
          <w:sz w:val="20"/>
        </w:rPr>
        <w:t>Rezultati:</w:t>
      </w:r>
      <w:r w:rsidRPr="006D15B2">
        <w:rPr>
          <w:rFonts w:ascii="Arial" w:eastAsia="Times New Roman" w:hAnsi="Arial" w:cs="Arial"/>
          <w:color w:val="000000"/>
          <w:sz w:val="20"/>
        </w:rPr>
        <w:t xml:space="preserve"> 61,6% ispitanika pokazalo je slabu ovisnost o nikotinu, 24,6% slabu do  srednje tešku, 12,9% srednje tešku do tešku, a 0,9% ispitanika tešku ovisnost. Studenti medicine pokazuju najmanji stupanj ovisnosti dok su najtežu ovisnost iskazali studenti društveno-humanističkog područja. Među spolovima nije primjećena značajna razlika.</w:t>
      </w:r>
    </w:p>
    <w:p w14:paraId="2353C6F8" w14:textId="77777777" w:rsidR="00975EF7" w:rsidRPr="006D15B2" w:rsidRDefault="00975EF7" w:rsidP="00756C58">
      <w:pPr>
        <w:spacing w:before="240" w:after="240" w:line="360" w:lineRule="auto"/>
        <w:jc w:val="both"/>
        <w:rPr>
          <w:rFonts w:ascii="Times New Roman" w:eastAsia="Times New Roman" w:hAnsi="Times New Roman" w:cs="Times New Roman"/>
          <w:szCs w:val="24"/>
        </w:rPr>
      </w:pPr>
      <w:r w:rsidRPr="006D15B2">
        <w:rPr>
          <w:rFonts w:ascii="Arial" w:eastAsia="Times New Roman" w:hAnsi="Arial" w:cs="Arial"/>
          <w:b/>
          <w:bCs/>
          <w:color w:val="000000"/>
          <w:sz w:val="20"/>
        </w:rPr>
        <w:t xml:space="preserve">Zaključak: </w:t>
      </w:r>
      <w:r w:rsidRPr="006D15B2">
        <w:rPr>
          <w:rFonts w:ascii="Arial" w:eastAsia="Times New Roman" w:hAnsi="Arial" w:cs="Arial"/>
          <w:color w:val="000000"/>
          <w:sz w:val="20"/>
        </w:rPr>
        <w:t>Rezultati ukazuju da među studentima medicine postoji viša razina svijesti o štetnosti cigareta u usporedbi s ostalima. Javnozdravstvene intervencije i edukacija su potrebne kako bi se trend smanjenja pušenja u Hrvatskoj nastavio.</w:t>
      </w:r>
    </w:p>
    <w:p w14:paraId="360D6EAA" w14:textId="75C8F793" w:rsidR="00756C58" w:rsidRDefault="00756C58" w:rsidP="00756C58">
      <w:pPr>
        <w:pStyle w:val="Heading1"/>
        <w:spacing w:line="360" w:lineRule="auto"/>
        <w:rPr>
          <w:rFonts w:ascii="Arial" w:hAnsi="Arial" w:cs="Arial"/>
          <w:sz w:val="24"/>
          <w:szCs w:val="24"/>
        </w:rPr>
      </w:pPr>
      <w:bookmarkStart w:id="55" w:name="_heading=h.r70rhjie1dk9" w:colFirst="0" w:colLast="0"/>
      <w:bookmarkEnd w:id="55"/>
      <w:r>
        <w:rPr>
          <w:rFonts w:ascii="Arial" w:hAnsi="Arial" w:cs="Arial"/>
          <w:sz w:val="24"/>
          <w:szCs w:val="24"/>
        </w:rPr>
        <w:br w:type="page"/>
      </w:r>
    </w:p>
    <w:p w14:paraId="3C5B44E0" w14:textId="77777777" w:rsidR="00076856" w:rsidRPr="00244ECF" w:rsidRDefault="00DE4299" w:rsidP="00756C58">
      <w:pPr>
        <w:pStyle w:val="Heading1"/>
        <w:spacing w:line="360" w:lineRule="auto"/>
        <w:rPr>
          <w:rFonts w:ascii="Arial" w:hAnsi="Arial" w:cs="Arial"/>
          <w:sz w:val="24"/>
          <w:szCs w:val="24"/>
        </w:rPr>
      </w:pPr>
      <w:bookmarkStart w:id="56" w:name="_Toc75635818"/>
      <w:r w:rsidRPr="00244ECF">
        <w:rPr>
          <w:rFonts w:ascii="Arial" w:hAnsi="Arial" w:cs="Arial"/>
          <w:sz w:val="24"/>
          <w:szCs w:val="24"/>
        </w:rPr>
        <w:lastRenderedPageBreak/>
        <w:t>10. SUMMARY</w:t>
      </w:r>
      <w:bookmarkEnd w:id="56"/>
    </w:p>
    <w:p w14:paraId="146E2C68" w14:textId="77777777" w:rsidR="00975EF7" w:rsidRPr="006D15B2" w:rsidRDefault="00975EF7" w:rsidP="00756C58">
      <w:pPr>
        <w:spacing w:line="360" w:lineRule="auto"/>
        <w:jc w:val="both"/>
        <w:rPr>
          <w:rFonts w:ascii="Times New Roman" w:eastAsia="Times New Roman" w:hAnsi="Times New Roman" w:cs="Times New Roman"/>
          <w:szCs w:val="24"/>
        </w:rPr>
      </w:pPr>
      <w:r w:rsidRPr="006D15B2">
        <w:rPr>
          <w:rFonts w:ascii="Arial" w:eastAsia="Times New Roman" w:hAnsi="Arial" w:cs="Arial"/>
          <w:b/>
          <w:bCs/>
          <w:color w:val="000000"/>
          <w:sz w:val="20"/>
        </w:rPr>
        <w:t>Level of nicotine dependence and willingness to accept pharmacotherapy for smoking cessation among students in the Republic of Croatia</w:t>
      </w:r>
    </w:p>
    <w:p w14:paraId="61AA3BE4" w14:textId="77777777" w:rsidR="00975EF7" w:rsidRPr="006D15B2" w:rsidRDefault="00975EF7" w:rsidP="00756C58">
      <w:pPr>
        <w:spacing w:after="0" w:line="360" w:lineRule="auto"/>
        <w:jc w:val="both"/>
        <w:rPr>
          <w:rFonts w:ascii="Times New Roman" w:eastAsia="Times New Roman" w:hAnsi="Times New Roman" w:cs="Times New Roman"/>
          <w:szCs w:val="24"/>
        </w:rPr>
      </w:pPr>
      <w:r w:rsidRPr="006D15B2">
        <w:rPr>
          <w:rFonts w:ascii="Arial" w:eastAsia="Times New Roman" w:hAnsi="Arial" w:cs="Arial"/>
          <w:b/>
          <w:bCs/>
          <w:color w:val="000000"/>
          <w:sz w:val="20"/>
        </w:rPr>
        <w:t>Filip Anton Božinović, Emanuel Brađašević, Ema Kuhar, Tihana Kuljiš, Filip Tiljak</w:t>
      </w:r>
    </w:p>
    <w:p w14:paraId="5AC876D0" w14:textId="77777777" w:rsidR="00975EF7" w:rsidRPr="006D15B2" w:rsidRDefault="00975EF7" w:rsidP="00756C58">
      <w:pPr>
        <w:spacing w:before="240" w:after="240" w:line="360" w:lineRule="auto"/>
        <w:jc w:val="both"/>
        <w:rPr>
          <w:rFonts w:ascii="Times New Roman" w:eastAsia="Times New Roman" w:hAnsi="Times New Roman" w:cs="Times New Roman"/>
          <w:szCs w:val="24"/>
        </w:rPr>
      </w:pPr>
      <w:r w:rsidRPr="006D15B2">
        <w:rPr>
          <w:rFonts w:ascii="Arial" w:eastAsia="Times New Roman" w:hAnsi="Arial" w:cs="Arial"/>
          <w:b/>
          <w:bCs/>
          <w:color w:val="000000"/>
          <w:sz w:val="20"/>
        </w:rPr>
        <w:t>Key words:</w:t>
      </w:r>
      <w:r w:rsidRPr="006D15B2">
        <w:rPr>
          <w:rFonts w:ascii="Arial" w:eastAsia="Times New Roman" w:hAnsi="Arial" w:cs="Arial"/>
          <w:color w:val="000000"/>
          <w:sz w:val="20"/>
        </w:rPr>
        <w:t xml:space="preserve"> smoking, smoking cessation, students, Fagerström test for nicotine dependence</w:t>
      </w:r>
    </w:p>
    <w:p w14:paraId="5782F35C" w14:textId="77777777" w:rsidR="00975EF7" w:rsidRPr="006D15B2" w:rsidRDefault="00975EF7" w:rsidP="00756C58">
      <w:pPr>
        <w:spacing w:before="240" w:after="240" w:line="360" w:lineRule="auto"/>
        <w:jc w:val="both"/>
        <w:rPr>
          <w:rFonts w:ascii="Times New Roman" w:eastAsia="Times New Roman" w:hAnsi="Times New Roman" w:cs="Times New Roman"/>
          <w:szCs w:val="24"/>
        </w:rPr>
      </w:pPr>
      <w:r w:rsidRPr="006D15B2">
        <w:rPr>
          <w:rFonts w:ascii="Arial" w:eastAsia="Times New Roman" w:hAnsi="Arial" w:cs="Arial"/>
          <w:b/>
          <w:bCs/>
          <w:color w:val="000000"/>
          <w:sz w:val="20"/>
        </w:rPr>
        <w:t>Introduction:</w:t>
      </w:r>
      <w:r w:rsidRPr="006D15B2">
        <w:rPr>
          <w:rFonts w:ascii="Arial" w:eastAsia="Times New Roman" w:hAnsi="Arial" w:cs="Arial"/>
          <w:color w:val="000000"/>
          <w:sz w:val="20"/>
        </w:rPr>
        <w:t xml:space="preserve"> Croatia is above the European average in the number of smokers in the general, high school, and university student population. The aim of this research is to assess the degree of nicotine dependence in the student population in Croatia depending on gender and area of ​​education.</w:t>
      </w:r>
    </w:p>
    <w:p w14:paraId="55BEFC8B" w14:textId="77777777" w:rsidR="00975EF7" w:rsidRPr="006D15B2" w:rsidRDefault="00975EF7" w:rsidP="00756C58">
      <w:pPr>
        <w:spacing w:before="240" w:after="240" w:line="360" w:lineRule="auto"/>
        <w:jc w:val="both"/>
        <w:rPr>
          <w:rFonts w:ascii="Times New Roman" w:eastAsia="Times New Roman" w:hAnsi="Times New Roman" w:cs="Times New Roman"/>
          <w:szCs w:val="24"/>
        </w:rPr>
      </w:pPr>
      <w:r w:rsidRPr="006D15B2">
        <w:rPr>
          <w:rFonts w:ascii="Arial" w:eastAsia="Times New Roman" w:hAnsi="Arial" w:cs="Arial"/>
          <w:b/>
          <w:bCs/>
          <w:color w:val="000000"/>
          <w:sz w:val="20"/>
        </w:rPr>
        <w:t>Methods:</w:t>
      </w:r>
      <w:r w:rsidRPr="006D15B2">
        <w:rPr>
          <w:rFonts w:ascii="Arial" w:eastAsia="Times New Roman" w:hAnsi="Arial" w:cs="Arial"/>
          <w:color w:val="000000"/>
          <w:sz w:val="20"/>
        </w:rPr>
        <w:t xml:space="preserve"> The research was conducted by sending an online questionnaire to students of the University of Zagreb, Rijeka, and Osijek. The questionnaire consisted of the Fagerström test for nicotine dependence and the question about accepting nicotine replacement therapy. The statistical program IBM SPSS 25 was used for data analysis, and the χ2-test was used to determine the correlation between variables.</w:t>
      </w:r>
    </w:p>
    <w:p w14:paraId="1AEB3E75" w14:textId="77777777" w:rsidR="00975EF7" w:rsidRPr="006D15B2" w:rsidRDefault="00975EF7" w:rsidP="00756C58">
      <w:pPr>
        <w:spacing w:before="240" w:after="0" w:line="360" w:lineRule="auto"/>
        <w:jc w:val="both"/>
        <w:rPr>
          <w:rFonts w:ascii="Times New Roman" w:eastAsia="Times New Roman" w:hAnsi="Times New Roman" w:cs="Times New Roman"/>
          <w:szCs w:val="24"/>
        </w:rPr>
      </w:pPr>
      <w:r w:rsidRPr="006D15B2">
        <w:rPr>
          <w:rFonts w:ascii="Arial" w:eastAsia="Times New Roman" w:hAnsi="Arial" w:cs="Arial"/>
          <w:b/>
          <w:bCs/>
          <w:color w:val="000000"/>
          <w:sz w:val="20"/>
        </w:rPr>
        <w:t>Results:</w:t>
      </w:r>
      <w:r w:rsidRPr="006D15B2">
        <w:rPr>
          <w:rFonts w:ascii="Arial" w:eastAsia="Times New Roman" w:hAnsi="Arial" w:cs="Arial"/>
          <w:color w:val="000000"/>
          <w:sz w:val="20"/>
        </w:rPr>
        <w:t xml:space="preserve"> 61.6% of the respondents showed weak nicotine dependence, 24.6% weak to moderate, 12.9% moderate to severe, and 0.9% severe dependence. Medical students show the lowest degree of dependence while the most severe dependence was expressed by students of the social sciences and humanities. No significant difference was observed between the sexes.</w:t>
      </w:r>
    </w:p>
    <w:p w14:paraId="4DC7DFCD" w14:textId="77777777" w:rsidR="00076856" w:rsidRPr="006D15B2" w:rsidRDefault="00975EF7" w:rsidP="00756C58">
      <w:pPr>
        <w:spacing w:before="240" w:after="0" w:line="360" w:lineRule="auto"/>
        <w:jc w:val="both"/>
        <w:rPr>
          <w:rFonts w:ascii="Arial" w:eastAsia="Arial" w:hAnsi="Arial" w:cs="Arial"/>
          <w:sz w:val="20"/>
        </w:rPr>
      </w:pPr>
      <w:r w:rsidRPr="006D15B2">
        <w:rPr>
          <w:rFonts w:ascii="Arial" w:eastAsia="Times New Roman" w:hAnsi="Arial" w:cs="Arial"/>
          <w:b/>
          <w:bCs/>
          <w:color w:val="000000"/>
          <w:sz w:val="20"/>
        </w:rPr>
        <w:t>Conclusion:</w:t>
      </w:r>
      <w:r w:rsidRPr="006D15B2">
        <w:rPr>
          <w:rFonts w:ascii="Arial" w:eastAsia="Times New Roman" w:hAnsi="Arial" w:cs="Arial"/>
          <w:color w:val="000000"/>
          <w:sz w:val="20"/>
        </w:rPr>
        <w:t xml:space="preserve"> The results suggest that there may be a higher level of awareness among medical students about the harmfulness of cigarettes compared to others. Public health interventions and education are needed to continue the trend of reducing smoking in Croatia.</w:t>
      </w:r>
    </w:p>
    <w:p w14:paraId="07E19863" w14:textId="77777777" w:rsidR="00076856" w:rsidRDefault="00076856" w:rsidP="00756C58">
      <w:pPr>
        <w:spacing w:before="240" w:after="240" w:line="360" w:lineRule="auto"/>
        <w:rPr>
          <w:rFonts w:ascii="Arial" w:eastAsia="Arial" w:hAnsi="Arial" w:cs="Arial"/>
          <w:sz w:val="20"/>
          <w:szCs w:val="20"/>
        </w:rPr>
      </w:pPr>
      <w:bookmarkStart w:id="57" w:name="_heading=h.rs217eult1gx" w:colFirst="0" w:colLast="0"/>
      <w:bookmarkEnd w:id="57"/>
    </w:p>
    <w:sectPr w:rsidR="00076856" w:rsidSect="00DE4299">
      <w:footerReference w:type="default" r:id="rId19"/>
      <w:footerReference w:type="first" r:id="rId20"/>
      <w:pgSz w:w="12240" w:h="15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137E8" w14:textId="77777777" w:rsidR="00C51EAD" w:rsidRDefault="00C51EAD">
      <w:pPr>
        <w:spacing w:after="0" w:line="240" w:lineRule="auto"/>
      </w:pPr>
      <w:r>
        <w:separator/>
      </w:r>
    </w:p>
  </w:endnote>
  <w:endnote w:type="continuationSeparator" w:id="0">
    <w:p w14:paraId="3FF427DE" w14:textId="77777777" w:rsidR="00C51EAD" w:rsidRDefault="00C51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99D2" w14:textId="77777777" w:rsidR="007508FC" w:rsidRDefault="007508F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903A" w14:textId="77777777" w:rsidR="007508FC" w:rsidRDefault="007508FC">
    <w:pPr>
      <w:pStyle w:val="Footer"/>
      <w:jc w:val="right"/>
    </w:pPr>
  </w:p>
  <w:p w14:paraId="3808AE54" w14:textId="77777777" w:rsidR="007508FC" w:rsidRDefault="007508FC">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484381"/>
      <w:docPartObj>
        <w:docPartGallery w:val="Page Numbers (Bottom of Page)"/>
        <w:docPartUnique/>
      </w:docPartObj>
    </w:sdtPr>
    <w:sdtEndPr>
      <w:rPr>
        <w:rFonts w:ascii="Arial" w:hAnsi="Arial" w:cs="Arial"/>
        <w:noProof/>
      </w:rPr>
    </w:sdtEndPr>
    <w:sdtContent>
      <w:p w14:paraId="719555DE" w14:textId="52D5EC1E" w:rsidR="007508FC" w:rsidRPr="00551C5D" w:rsidRDefault="007508FC">
        <w:pPr>
          <w:pStyle w:val="Footer"/>
          <w:jc w:val="right"/>
          <w:rPr>
            <w:rFonts w:ascii="Arial" w:hAnsi="Arial" w:cs="Arial"/>
          </w:rPr>
        </w:pPr>
        <w:r w:rsidRPr="00551C5D">
          <w:rPr>
            <w:rFonts w:ascii="Arial" w:hAnsi="Arial" w:cs="Arial"/>
          </w:rPr>
          <w:fldChar w:fldCharType="begin"/>
        </w:r>
        <w:r w:rsidRPr="00551C5D">
          <w:rPr>
            <w:rFonts w:ascii="Arial" w:hAnsi="Arial" w:cs="Arial"/>
          </w:rPr>
          <w:instrText xml:space="preserve"> PAGE   \* MERGEFORMAT </w:instrText>
        </w:r>
        <w:r w:rsidRPr="00551C5D">
          <w:rPr>
            <w:rFonts w:ascii="Arial" w:hAnsi="Arial" w:cs="Arial"/>
          </w:rPr>
          <w:fldChar w:fldCharType="separate"/>
        </w:r>
        <w:r>
          <w:rPr>
            <w:rFonts w:ascii="Arial" w:hAnsi="Arial" w:cs="Arial"/>
            <w:noProof/>
          </w:rPr>
          <w:t>18</w:t>
        </w:r>
        <w:r w:rsidRPr="00551C5D">
          <w:rPr>
            <w:rFonts w:ascii="Arial" w:hAnsi="Arial" w:cs="Arial"/>
            <w:noProof/>
          </w:rPr>
          <w:fldChar w:fldCharType="end"/>
        </w:r>
      </w:p>
    </w:sdtContent>
  </w:sdt>
  <w:p w14:paraId="090C2182" w14:textId="77777777" w:rsidR="007508FC" w:rsidRDefault="007508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842284323"/>
      <w:docPartObj>
        <w:docPartGallery w:val="Page Numbers (Bottom of Page)"/>
        <w:docPartUnique/>
      </w:docPartObj>
    </w:sdtPr>
    <w:sdtEndPr>
      <w:rPr>
        <w:noProof/>
      </w:rPr>
    </w:sdtEndPr>
    <w:sdtContent>
      <w:p w14:paraId="6C05193F" w14:textId="1C0D400D" w:rsidR="007508FC" w:rsidRPr="00A54C40" w:rsidRDefault="007508FC">
        <w:pPr>
          <w:pStyle w:val="Footer"/>
          <w:jc w:val="right"/>
          <w:rPr>
            <w:rFonts w:ascii="Arial" w:hAnsi="Arial" w:cs="Arial"/>
          </w:rPr>
        </w:pPr>
        <w:r w:rsidRPr="00A54C40">
          <w:rPr>
            <w:rFonts w:ascii="Arial" w:hAnsi="Arial" w:cs="Arial"/>
          </w:rPr>
          <w:fldChar w:fldCharType="begin"/>
        </w:r>
        <w:r w:rsidRPr="00A54C40">
          <w:rPr>
            <w:rFonts w:ascii="Arial" w:hAnsi="Arial" w:cs="Arial"/>
          </w:rPr>
          <w:instrText xml:space="preserve"> PAGE   \* MERGEFORMAT </w:instrText>
        </w:r>
        <w:r w:rsidRPr="00A54C40">
          <w:rPr>
            <w:rFonts w:ascii="Arial" w:hAnsi="Arial" w:cs="Arial"/>
          </w:rPr>
          <w:fldChar w:fldCharType="separate"/>
        </w:r>
        <w:r>
          <w:rPr>
            <w:rFonts w:ascii="Arial" w:hAnsi="Arial" w:cs="Arial"/>
            <w:noProof/>
          </w:rPr>
          <w:t>1</w:t>
        </w:r>
        <w:r w:rsidRPr="00A54C40">
          <w:rPr>
            <w:rFonts w:ascii="Arial" w:hAnsi="Arial" w:cs="Arial"/>
            <w:noProof/>
          </w:rPr>
          <w:fldChar w:fldCharType="end"/>
        </w:r>
      </w:p>
    </w:sdtContent>
  </w:sdt>
  <w:p w14:paraId="1AA686FE" w14:textId="77777777" w:rsidR="007508FC" w:rsidRDefault="007508F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13312" w14:textId="77777777" w:rsidR="00C51EAD" w:rsidRDefault="00C51EAD">
      <w:pPr>
        <w:spacing w:after="0" w:line="240" w:lineRule="auto"/>
      </w:pPr>
      <w:r>
        <w:separator/>
      </w:r>
    </w:p>
  </w:footnote>
  <w:footnote w:type="continuationSeparator" w:id="0">
    <w:p w14:paraId="317BF425" w14:textId="77777777" w:rsidR="00C51EAD" w:rsidRDefault="00C51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34D5" w14:textId="77777777" w:rsidR="007508FC" w:rsidRDefault="007508F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623C1" w14:textId="77777777" w:rsidR="007508FC" w:rsidRDefault="007508F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06A53" w14:textId="77777777" w:rsidR="007508FC" w:rsidRDefault="007508F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654A8"/>
    <w:multiLevelType w:val="multilevel"/>
    <w:tmpl w:val="D7DCAC96"/>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1CBA31AB"/>
    <w:multiLevelType w:val="multilevel"/>
    <w:tmpl w:val="5EA43B60"/>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F92456"/>
    <w:multiLevelType w:val="multilevel"/>
    <w:tmpl w:val="868083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124197D"/>
    <w:multiLevelType w:val="multilevel"/>
    <w:tmpl w:val="1A5C9380"/>
    <w:lvl w:ilvl="0">
      <w:start w:val="5"/>
      <w:numFmt w:val="decimal"/>
      <w:lvlText w:val="%1."/>
      <w:lvlJc w:val="left"/>
      <w:pPr>
        <w:ind w:left="480" w:hanging="48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 w15:restartNumberingAfterBreak="0">
    <w:nsid w:val="774023FC"/>
    <w:multiLevelType w:val="multilevel"/>
    <w:tmpl w:val="757C9798"/>
    <w:lvl w:ilvl="0">
      <w:start w:val="1"/>
      <w:numFmt w:val="decimal"/>
      <w:lvlText w:val="%1."/>
      <w:lvlJc w:val="left"/>
      <w:pPr>
        <w:ind w:left="360" w:hanging="360"/>
      </w:pPr>
      <w:rPr>
        <w:rFonts w:ascii="Calibri" w:eastAsia="Calibri" w:hAnsi="Calibri" w:cs="Calibri"/>
        <w:sz w:val="18"/>
        <w:szCs w:val="18"/>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56"/>
    <w:rsid w:val="0001237F"/>
    <w:rsid w:val="000316ED"/>
    <w:rsid w:val="00037B2F"/>
    <w:rsid w:val="00076856"/>
    <w:rsid w:val="00116CFE"/>
    <w:rsid w:val="00141858"/>
    <w:rsid w:val="00161AAB"/>
    <w:rsid w:val="001B3AC4"/>
    <w:rsid w:val="001C6B46"/>
    <w:rsid w:val="001F4832"/>
    <w:rsid w:val="00203285"/>
    <w:rsid w:val="00213163"/>
    <w:rsid w:val="00244ECF"/>
    <w:rsid w:val="00386201"/>
    <w:rsid w:val="003D77D0"/>
    <w:rsid w:val="0047370A"/>
    <w:rsid w:val="004A7112"/>
    <w:rsid w:val="00551C5D"/>
    <w:rsid w:val="00583140"/>
    <w:rsid w:val="00597136"/>
    <w:rsid w:val="005A7471"/>
    <w:rsid w:val="005B1B65"/>
    <w:rsid w:val="005C3838"/>
    <w:rsid w:val="005E3500"/>
    <w:rsid w:val="00613F56"/>
    <w:rsid w:val="00667D9B"/>
    <w:rsid w:val="006D15B2"/>
    <w:rsid w:val="0074490E"/>
    <w:rsid w:val="007508FC"/>
    <w:rsid w:val="0075286B"/>
    <w:rsid w:val="00756927"/>
    <w:rsid w:val="00756C58"/>
    <w:rsid w:val="008062D3"/>
    <w:rsid w:val="008B6457"/>
    <w:rsid w:val="008C6F65"/>
    <w:rsid w:val="008F23F4"/>
    <w:rsid w:val="00954889"/>
    <w:rsid w:val="00975EF7"/>
    <w:rsid w:val="00993C24"/>
    <w:rsid w:val="009A4F80"/>
    <w:rsid w:val="009E0AAF"/>
    <w:rsid w:val="00A141C5"/>
    <w:rsid w:val="00A26067"/>
    <w:rsid w:val="00A45FF0"/>
    <w:rsid w:val="00A54222"/>
    <w:rsid w:val="00A54C40"/>
    <w:rsid w:val="00A701FA"/>
    <w:rsid w:val="00AF0A71"/>
    <w:rsid w:val="00AF449D"/>
    <w:rsid w:val="00AF6E79"/>
    <w:rsid w:val="00B34DFD"/>
    <w:rsid w:val="00B67FA8"/>
    <w:rsid w:val="00BF547B"/>
    <w:rsid w:val="00C26951"/>
    <w:rsid w:val="00C51EAD"/>
    <w:rsid w:val="00CD1C3D"/>
    <w:rsid w:val="00D416AD"/>
    <w:rsid w:val="00D6401D"/>
    <w:rsid w:val="00D81F52"/>
    <w:rsid w:val="00D9762F"/>
    <w:rsid w:val="00DE4299"/>
    <w:rsid w:val="00DF5A02"/>
    <w:rsid w:val="00E5170B"/>
    <w:rsid w:val="00E67E71"/>
    <w:rsid w:val="00EF0A77"/>
    <w:rsid w:val="00F60CE7"/>
    <w:rsid w:val="00FB2F2F"/>
    <w:rsid w:val="00FE55B1"/>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B717C92"/>
  <w15:docId w15:val="{5E7E0FC9-F129-4690-A5BC-41D873E0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EA7B3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3174B"/>
    <w:pPr>
      <w:ind w:left="720"/>
      <w:contextualSpacing/>
    </w:pPr>
  </w:style>
  <w:style w:type="paragraph" w:styleId="Header">
    <w:name w:val="header"/>
    <w:basedOn w:val="Normal"/>
    <w:link w:val="HeaderChar"/>
    <w:uiPriority w:val="99"/>
    <w:unhideWhenUsed/>
    <w:rsid w:val="00831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74B"/>
  </w:style>
  <w:style w:type="paragraph" w:styleId="Footer">
    <w:name w:val="footer"/>
    <w:basedOn w:val="Normal"/>
    <w:link w:val="FooterChar"/>
    <w:uiPriority w:val="99"/>
    <w:unhideWhenUsed/>
    <w:rsid w:val="00831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74B"/>
  </w:style>
  <w:style w:type="paragraph" w:styleId="Bibliography">
    <w:name w:val="Bibliography"/>
    <w:basedOn w:val="Normal"/>
    <w:next w:val="Normal"/>
    <w:uiPriority w:val="37"/>
    <w:unhideWhenUsed/>
    <w:rsid w:val="00021926"/>
    <w:pPr>
      <w:tabs>
        <w:tab w:val="left" w:pos="504"/>
      </w:tabs>
      <w:spacing w:after="240" w:line="240" w:lineRule="auto"/>
      <w:ind w:left="504" w:hanging="504"/>
    </w:pPr>
  </w:style>
  <w:style w:type="paragraph" w:styleId="Subtitle">
    <w:name w:val="Subtitle"/>
    <w:basedOn w:val="Normal"/>
    <w:next w:val="Normal"/>
    <w:pPr>
      <w:keepNext/>
      <w:keepLines/>
      <w:spacing w:line="480" w:lineRule="auto"/>
      <w:ind w:left="720" w:hanging="360"/>
    </w:pPr>
    <w:rPr>
      <w:rFonts w:ascii="Arial" w:eastAsia="Arial" w:hAnsi="Arial" w:cs="Arial"/>
      <w:b/>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A5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11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62D9A"/>
    <w:rPr>
      <w:b/>
      <w:bCs/>
    </w:rPr>
  </w:style>
  <w:style w:type="character" w:customStyle="1" w:styleId="CommentSubjectChar">
    <w:name w:val="Comment Subject Char"/>
    <w:basedOn w:val="CommentTextChar"/>
    <w:link w:val="CommentSubject"/>
    <w:uiPriority w:val="99"/>
    <w:semiHidden/>
    <w:rsid w:val="00962D9A"/>
    <w:rPr>
      <w:b/>
      <w:bCs/>
      <w:sz w:val="20"/>
      <w:szCs w:val="20"/>
    </w:rPr>
  </w:style>
  <w:style w:type="table" w:styleId="TableGrid">
    <w:name w:val="Table Grid"/>
    <w:basedOn w:val="TableNormal"/>
    <w:uiPriority w:val="39"/>
    <w:rsid w:val="00B42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TOCHeading">
    <w:name w:val="TOC Heading"/>
    <w:basedOn w:val="Heading1"/>
    <w:next w:val="Normal"/>
    <w:uiPriority w:val="39"/>
    <w:unhideWhenUsed/>
    <w:qFormat/>
    <w:rsid w:val="00DE4299"/>
    <w:pPr>
      <w:spacing w:before="240" w:after="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DE4299"/>
    <w:pPr>
      <w:spacing w:after="100"/>
    </w:pPr>
  </w:style>
  <w:style w:type="paragraph" w:styleId="TOC2">
    <w:name w:val="toc 2"/>
    <w:basedOn w:val="Normal"/>
    <w:next w:val="Normal"/>
    <w:autoRedefine/>
    <w:uiPriority w:val="39"/>
    <w:unhideWhenUsed/>
    <w:rsid w:val="00DE4299"/>
    <w:pPr>
      <w:spacing w:after="100"/>
      <w:ind w:left="220"/>
    </w:pPr>
  </w:style>
  <w:style w:type="character" w:styleId="Hyperlink">
    <w:name w:val="Hyperlink"/>
    <w:basedOn w:val="DefaultParagraphFont"/>
    <w:uiPriority w:val="99"/>
    <w:unhideWhenUsed/>
    <w:rsid w:val="00DE4299"/>
    <w:rPr>
      <w:color w:val="0563C1" w:themeColor="hyperlink"/>
      <w:u w:val="single"/>
    </w:rPr>
  </w:style>
  <w:style w:type="character" w:customStyle="1" w:styleId="selectable">
    <w:name w:val="selectable"/>
    <w:basedOn w:val="DefaultParagraphFont"/>
    <w:rsid w:val="00B34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51834">
      <w:bodyDiv w:val="1"/>
      <w:marLeft w:val="0"/>
      <w:marRight w:val="0"/>
      <w:marTop w:val="0"/>
      <w:marBottom w:val="0"/>
      <w:divBdr>
        <w:top w:val="none" w:sz="0" w:space="0" w:color="auto"/>
        <w:left w:val="none" w:sz="0" w:space="0" w:color="auto"/>
        <w:bottom w:val="none" w:sz="0" w:space="0" w:color="auto"/>
        <w:right w:val="none" w:sz="0" w:space="0" w:color="auto"/>
      </w:divBdr>
    </w:div>
    <w:div w:id="1938782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TCC5gOYeQz3keFTJaHVZ66xLg==">AMUW2mUWZZ/DwpQIvw39DY5sKLU+icrVhsH2zEWsLR3iRg/+zXXm/+2DQPhZjAFMpdEUpqGCdpf7qqMyi7n5tTCuRHlqCm/tQOw5LO9i7E27b6nXxAlKpD6qFHlutPxUe5pSPlf2B8jTU5LDhtNbWenxIxdQkZJ6X37CT9XWiukuRVMruIDB3tF+qAdTnBagrOfOTvmSVDDfDpdjK6214R7jPTuAzZIpWAjS0IpiaocOrTERQjxdNW3X+JoKDQaXxnR/kto910IXC6Xkzeabnb9OWM9E8jK6M1m9NiFpoOZDDcrX+Mcm2sBIdlpzhzYTiN3LhbpcL5irG8wTBb//0icsPMZ3W0gTuXYXJocgsCfD/0L25A2JhAk08g97+Oa3ld97prikb2erRMc9wFXjOTw5FIytYCq69bB08Ctcn64sR1Hpqh68L0/4h8XP1T+X/0L7FlYbwAaQjajhDkAjAVMry/bI9pzwLTmPmuFKo3ScqqWPu1vtTlTNE6aI/Ga3WYiQcXCHrFV3+f/Oj55tPqLPD5TXwWWf6qlfbdPGk/ImdoLZv8IX1X4cTGLigcX/0ByB3iye+/E/0osv4jYN0UmZtTQATDqtXiBploMY8RDHdZr2IG/+7WCttYvDjLZsu1nQv+E/C7HvHNOzeWsqEiIndyBfmvpx0s9fFttmVmrUR8rVSQgFZTK8kjHi2CKBMOPAYn3tMzPBE72XPu8Koe6bGdSL0DDiTbKvY47k5BfYmiTGZ9Tp3cs=</go:docsCustomData>
</go:gDocsCustomXmlDataStorage>
</file>

<file path=customXml/itemProps1.xml><?xml version="1.0" encoding="utf-8"?>
<ds:datastoreItem xmlns:ds="http://schemas.openxmlformats.org/officeDocument/2006/customXml" ds:itemID="{F408DCE8-9E2B-40C0-8E9A-29EB97ECA5B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27944</Words>
  <Characters>159282</Characters>
  <Application>Microsoft Office Word</Application>
  <DocSecurity>0</DocSecurity>
  <Lines>1327</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 Kuhar</dc:creator>
  <cp:lastModifiedBy>Filip Tiljak</cp:lastModifiedBy>
  <cp:revision>3</cp:revision>
  <dcterms:created xsi:type="dcterms:W3CDTF">2021-10-08T17:36:00Z</dcterms:created>
  <dcterms:modified xsi:type="dcterms:W3CDTF">2021-10-08T17:40:00Z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85091fad-ed2a-32af-963a-fef78d57c3b3</vt:lpwstr>
  </property>
  <property fmtid="{D5CDD505-2E9C-101B-9397-08002B2CF9AE}" pid="24" name="Mendeley Citation Style_1">
    <vt:lpwstr>http://www.zotero.org/styles/vancouver</vt:lpwstr>
  </property>
  <property fmtid="{D5CDD505-2E9C-101B-9397-08002B2CF9AE}" pid="25" name="ZOTERO_PREF_1">
    <vt:lpwstr>&lt;data data-version="3" zotero-version="5.0.96.2"&gt;&lt;session id="YlNUCLkK"/&gt;&lt;style id="http://www.zotero.org/styles/vancouver" locale="en-US" hasBibliography="1" bibliographyStyleHasBeenSet="1"/&gt;&lt;prefs&gt;&lt;pref name="fieldType" value="Field"/&gt;&lt;pref name="automa</vt:lpwstr>
  </property>
  <property fmtid="{D5CDD505-2E9C-101B-9397-08002B2CF9AE}" pid="26" name="ZOTERO_PREF_2">
    <vt:lpwstr>ticJournalAbbreviations" value="true"/&gt;&lt;/prefs&gt;&lt;/data&gt;</vt:lpwstr>
  </property>
</Properties>
</file>